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8D570" w14:textId="7FC0EE65" w:rsidR="002036D5" w:rsidRDefault="002036D5"/>
    <w:p w14:paraId="183AA166" w14:textId="77777777" w:rsidR="009D6FDC" w:rsidRDefault="009D6FDC"/>
    <w:p w14:paraId="27868830" w14:textId="3F02831C" w:rsidR="002036D5" w:rsidRPr="009E2B9A" w:rsidRDefault="009D6FDC" w:rsidP="005E3CF9">
      <w:pPr>
        <w:spacing w:line="360" w:lineRule="auto"/>
        <w:jc w:val="center"/>
        <w:rPr>
          <w:b/>
          <w:bCs/>
          <w:sz w:val="28"/>
          <w:szCs w:val="28"/>
        </w:rPr>
      </w:pPr>
      <w:r w:rsidRPr="009E2B9A">
        <w:rPr>
          <w:b/>
          <w:bCs/>
          <w:sz w:val="28"/>
          <w:szCs w:val="28"/>
        </w:rPr>
        <w:t xml:space="preserve">Retrospectiva jurídica do agronegócio </w:t>
      </w:r>
      <w:r w:rsidR="00DF35B9" w:rsidRPr="009E2B9A">
        <w:rPr>
          <w:b/>
          <w:bCs/>
          <w:sz w:val="28"/>
          <w:szCs w:val="28"/>
        </w:rPr>
        <w:t>em</w:t>
      </w:r>
      <w:r w:rsidRPr="009E2B9A">
        <w:rPr>
          <w:b/>
          <w:bCs/>
          <w:sz w:val="28"/>
          <w:szCs w:val="28"/>
        </w:rPr>
        <w:t xml:space="preserve"> 2020</w:t>
      </w:r>
    </w:p>
    <w:p w14:paraId="09E9A476" w14:textId="6356F598" w:rsidR="009D6FDC" w:rsidRDefault="009D6FDC" w:rsidP="005E3CF9">
      <w:pPr>
        <w:spacing w:line="360" w:lineRule="auto"/>
        <w:jc w:val="center"/>
        <w:rPr>
          <w:b/>
          <w:bCs/>
        </w:rPr>
      </w:pPr>
    </w:p>
    <w:p w14:paraId="1A18A0F0" w14:textId="44799104" w:rsidR="009D6FDC" w:rsidRDefault="009D6FDC" w:rsidP="005E3CF9">
      <w:pPr>
        <w:spacing w:line="360" w:lineRule="auto"/>
        <w:jc w:val="center"/>
      </w:pPr>
      <w:r w:rsidRPr="009D6FDC">
        <w:t xml:space="preserve">por </w:t>
      </w:r>
      <w:proofErr w:type="spellStart"/>
      <w:r w:rsidRPr="009D6FDC">
        <w:t>Albenir</w:t>
      </w:r>
      <w:proofErr w:type="spellEnd"/>
      <w:r w:rsidRPr="009D6FDC">
        <w:t xml:space="preserve"> </w:t>
      </w:r>
      <w:proofErr w:type="spellStart"/>
      <w:r w:rsidRPr="009D6FDC">
        <w:t>Querubini</w:t>
      </w:r>
      <w:proofErr w:type="spellEnd"/>
      <w:r w:rsidRPr="009D6FDC">
        <w:t>.</w:t>
      </w:r>
    </w:p>
    <w:p w14:paraId="06BD10A3" w14:textId="77777777" w:rsidR="009E2B9A" w:rsidRDefault="009E2B9A" w:rsidP="005E3CF9">
      <w:pPr>
        <w:spacing w:line="360" w:lineRule="auto"/>
        <w:jc w:val="center"/>
      </w:pPr>
    </w:p>
    <w:p w14:paraId="7F65C241" w14:textId="0CD572F6" w:rsidR="009E2B9A" w:rsidRPr="009E2B9A" w:rsidRDefault="009E2B9A" w:rsidP="009E2B9A">
      <w:pPr>
        <w:spacing w:line="360" w:lineRule="auto"/>
        <w:jc w:val="center"/>
        <w:rPr>
          <w:sz w:val="20"/>
          <w:szCs w:val="20"/>
        </w:rPr>
      </w:pPr>
      <w:r w:rsidRPr="009E2B9A">
        <w:rPr>
          <w:sz w:val="20"/>
          <w:szCs w:val="20"/>
        </w:rPr>
        <w:t>Mestre em Direito pela UFRGS. Professor de Direito Agrário, integrante do Grupo de Estudos e Pesquisas “Direito Agrário: Agronegócio, Gestão, Inovação e Sustentabilidade” da Universidade Presbiteriana Mackenzie e do Grupo de Estudos em Direito aplicado ao Agronegócio do IDCC. Foi Coordenador Científico da Especialização em Direito Agrário e Ambiental aplicado ao Agronegócio do I-UMA/UNIP, atualmente lecionando como professor convidado em Cursos de Pós-Graduação. Membro da União Mundial dos Agraristas Universitário (UMAU) e da União Brasileira dos Agraristas Universitários (UBAU). Coordenador dos Portais DireitoAmbiental.com (www.direitoambiental.com) e DireitoAgrário.com (www.direitoagrario.com). Autor, organizador e colaborador de diversas obras de referência na área agrária e ambiental</w:t>
      </w:r>
      <w:r w:rsidR="007E167A" w:rsidRPr="007E167A">
        <w:rPr>
          <w:sz w:val="20"/>
          <w:szCs w:val="20"/>
        </w:rPr>
        <w:t>.</w:t>
      </w:r>
    </w:p>
    <w:p w14:paraId="7261EFC3" w14:textId="77777777" w:rsidR="009E2B9A" w:rsidRPr="009D6FDC" w:rsidRDefault="009E2B9A" w:rsidP="005E3CF9">
      <w:pPr>
        <w:spacing w:line="360" w:lineRule="auto"/>
        <w:jc w:val="center"/>
      </w:pPr>
    </w:p>
    <w:p w14:paraId="23B14321" w14:textId="62690B4C" w:rsidR="009D6FDC" w:rsidRPr="009D6FDC" w:rsidRDefault="009D6FDC" w:rsidP="00DA0CEC">
      <w:pPr>
        <w:spacing w:line="360" w:lineRule="auto"/>
      </w:pPr>
    </w:p>
    <w:p w14:paraId="72E3594B" w14:textId="16E587A9" w:rsidR="009D6FDC" w:rsidRDefault="009D6FDC" w:rsidP="005E3CF9">
      <w:pPr>
        <w:spacing w:line="360" w:lineRule="auto"/>
        <w:jc w:val="both"/>
      </w:pPr>
    </w:p>
    <w:p w14:paraId="36611FEA" w14:textId="0071BC33" w:rsidR="00C65848" w:rsidRPr="00C65848" w:rsidRDefault="00C65848" w:rsidP="0049049D">
      <w:pPr>
        <w:spacing w:line="360" w:lineRule="auto"/>
        <w:ind w:firstLine="708"/>
        <w:jc w:val="both"/>
        <w:rPr>
          <w:b/>
          <w:bCs/>
        </w:rPr>
      </w:pPr>
      <w:r w:rsidRPr="00C65848">
        <w:rPr>
          <w:b/>
          <w:bCs/>
        </w:rPr>
        <w:t>Introdução</w:t>
      </w:r>
    </w:p>
    <w:p w14:paraId="264DA9ED" w14:textId="77777777" w:rsidR="00C65848" w:rsidRDefault="00C65848" w:rsidP="0049049D">
      <w:pPr>
        <w:spacing w:line="360" w:lineRule="auto"/>
        <w:ind w:firstLine="708"/>
        <w:jc w:val="both"/>
      </w:pPr>
    </w:p>
    <w:p w14:paraId="0A325CE2" w14:textId="0B8CDF59" w:rsidR="0049049D" w:rsidRDefault="005E66E5" w:rsidP="0049049D">
      <w:pPr>
        <w:spacing w:line="360" w:lineRule="auto"/>
        <w:ind w:firstLine="708"/>
        <w:jc w:val="both"/>
      </w:pPr>
      <w:r>
        <w:t xml:space="preserve">O ano de 2020 foi marcado por uma série de acontecimentos jurídicos relacionados com o Agronegócio e o Direito Agrário brasileiro, principalmente pela chamada pandemia do </w:t>
      </w:r>
      <w:proofErr w:type="spellStart"/>
      <w:r>
        <w:t>coronavírus</w:t>
      </w:r>
      <w:proofErr w:type="spellEnd"/>
      <w:r>
        <w:t xml:space="preserve"> (covid-19), a qual perdura até o momento. </w:t>
      </w:r>
      <w:r w:rsidR="0047289A">
        <w:t xml:space="preserve"> Além disso, questões contratuais, tributárias, ambientais</w:t>
      </w:r>
      <w:r w:rsidR="006804B7">
        <w:t xml:space="preserve"> e trabalhistas</w:t>
      </w:r>
      <w:r w:rsidR="0047289A">
        <w:t xml:space="preserve"> também estiveram na pauta dos acontecimentos jurídicos mais relevantes </w:t>
      </w:r>
      <w:r w:rsidR="006804B7">
        <w:t>para o agronegócio</w:t>
      </w:r>
      <w:r w:rsidR="0049049D">
        <w:t xml:space="preserve"> no ano de 2020</w:t>
      </w:r>
      <w:r w:rsidR="0047289A">
        <w:t xml:space="preserve">. </w:t>
      </w:r>
    </w:p>
    <w:p w14:paraId="421EC92E" w14:textId="388CDCED" w:rsidR="00FC7080" w:rsidRDefault="0049049D" w:rsidP="00054BA3">
      <w:pPr>
        <w:spacing w:line="360" w:lineRule="auto"/>
        <w:ind w:firstLine="708"/>
        <w:jc w:val="both"/>
      </w:pPr>
      <w:r>
        <w:t>Com o objetivo de com</w:t>
      </w:r>
      <w:r w:rsidR="00054BA3">
        <w:t>pilar as principais informações que merecem atenção do</w:t>
      </w:r>
      <w:r w:rsidR="00ED0704">
        <w:t>s</w:t>
      </w:r>
      <w:r w:rsidR="00054BA3">
        <w:t xml:space="preserve"> profissionais que atuam no agronegócio, o presente </w:t>
      </w:r>
      <w:r w:rsidR="009D6FDC">
        <w:t xml:space="preserve">artigo realiza uma retrospectiva jurídica do agronegócio brasileiro, relembrando os principais acontecimentos </w:t>
      </w:r>
      <w:r w:rsidR="00054BA3">
        <w:t xml:space="preserve">em matéria </w:t>
      </w:r>
      <w:r w:rsidR="009D6FDC">
        <w:t>legislativa</w:t>
      </w:r>
      <w:r w:rsidR="00B479C5">
        <w:t xml:space="preserve"> e</w:t>
      </w:r>
      <w:r w:rsidR="009D6FDC">
        <w:t xml:space="preserve"> jurisprudencial.</w:t>
      </w:r>
    </w:p>
    <w:p w14:paraId="37178A39" w14:textId="5CFD998E" w:rsidR="00FC7080" w:rsidRDefault="004B6955" w:rsidP="005E3CF9">
      <w:pPr>
        <w:spacing w:line="360" w:lineRule="auto"/>
        <w:ind w:firstLine="708"/>
        <w:jc w:val="both"/>
      </w:pPr>
      <w:r>
        <w:t xml:space="preserve">Por fim, </w:t>
      </w:r>
      <w:r w:rsidR="005E5779">
        <w:t>enumeramos questões ainda pendentes que estarão na pauta jurídica do agronegócio em 2021.</w:t>
      </w:r>
    </w:p>
    <w:p w14:paraId="20B7A3BA" w14:textId="77777777" w:rsidR="009D6FDC" w:rsidRDefault="009D6FDC" w:rsidP="005E3CF9">
      <w:pPr>
        <w:spacing w:line="360" w:lineRule="auto"/>
        <w:jc w:val="both"/>
      </w:pPr>
    </w:p>
    <w:p w14:paraId="7E922A25" w14:textId="7CEB33C9" w:rsidR="009D6FDC" w:rsidRPr="00F252C2" w:rsidRDefault="00C65848" w:rsidP="005E3CF9">
      <w:pPr>
        <w:spacing w:line="360" w:lineRule="auto"/>
        <w:ind w:firstLine="708"/>
        <w:jc w:val="both"/>
        <w:rPr>
          <w:b/>
          <w:bCs/>
        </w:rPr>
      </w:pPr>
      <w:r>
        <w:rPr>
          <w:b/>
          <w:bCs/>
        </w:rPr>
        <w:t xml:space="preserve">1. </w:t>
      </w:r>
      <w:r w:rsidR="009D6FDC" w:rsidRPr="00F252C2">
        <w:rPr>
          <w:b/>
          <w:bCs/>
        </w:rPr>
        <w:t>Covid-19 e a essencialidade da atividade agrária</w:t>
      </w:r>
    </w:p>
    <w:p w14:paraId="159F9A93" w14:textId="05013E7E" w:rsidR="00F23C9C" w:rsidRDefault="00F23C9C" w:rsidP="005E3CF9">
      <w:pPr>
        <w:spacing w:line="360" w:lineRule="auto"/>
        <w:jc w:val="both"/>
      </w:pPr>
    </w:p>
    <w:p w14:paraId="760EADDC" w14:textId="0186BC92" w:rsidR="00F252C2" w:rsidRDefault="00FC7080" w:rsidP="005E3CF9">
      <w:pPr>
        <w:spacing w:line="360" w:lineRule="auto"/>
        <w:ind w:firstLine="708"/>
        <w:jc w:val="both"/>
      </w:pPr>
      <w:r w:rsidRPr="00992FDF">
        <w:t xml:space="preserve">O ano de 2020 ficará para sempre marcado como o ano da pandemia do covid-19, </w:t>
      </w:r>
      <w:r w:rsidR="00F23C9C">
        <w:t>a qual</w:t>
      </w:r>
      <w:r w:rsidRPr="00992FDF">
        <w:t xml:space="preserve"> trouxe pânico</w:t>
      </w:r>
      <w:r w:rsidR="00BF128C" w:rsidRPr="00992FDF">
        <w:t>, medo e incertezas, especialmente nos primeiros meses do ano</w:t>
      </w:r>
      <w:r w:rsidR="00C8592E" w:rsidRPr="00992FDF">
        <w:t xml:space="preserve">. </w:t>
      </w:r>
      <w:r w:rsidR="00F23C9C">
        <w:t xml:space="preserve">Por </w:t>
      </w:r>
      <w:r w:rsidR="00F23C9C">
        <w:lastRenderedPageBreak/>
        <w:t>conta disso, foi publicada</w:t>
      </w:r>
      <w:r w:rsidR="00F252C2">
        <w:t xml:space="preserve"> a</w:t>
      </w:r>
      <w:r w:rsidR="00C8592E" w:rsidRPr="00992FDF">
        <w:t xml:space="preserve"> Lei Federal nº 13.979</w:t>
      </w:r>
      <w:r w:rsidR="00F252C2">
        <w:t xml:space="preserve">, de 6 de fevereiro de </w:t>
      </w:r>
      <w:r w:rsidR="00C8592E" w:rsidRPr="00992FDF">
        <w:t>2020</w:t>
      </w:r>
      <w:r w:rsidR="00F252C2">
        <w:t>,</w:t>
      </w:r>
      <w:r w:rsidR="00C8592E" w:rsidRPr="00992FDF">
        <w:t xml:space="preserve"> autorizou as autoridades do Poder Público a adotarem as medidas necessárias ao enfrentamento da pandemia, tendo havido </w:t>
      </w:r>
      <w:r w:rsidR="00BF128C" w:rsidRPr="00992FDF">
        <w:t xml:space="preserve">a suspensão de diversas atividades a partir do </w:t>
      </w:r>
      <w:r w:rsidR="00BF128C" w:rsidRPr="00992FDF">
        <w:rPr>
          <w:rFonts w:eastAsiaTheme="minorHAnsi"/>
        </w:rPr>
        <w:t>D</w:t>
      </w:r>
      <w:r w:rsidR="00BF128C" w:rsidRPr="00992FDF">
        <w:t>ecreto</w:t>
      </w:r>
      <w:r w:rsidR="00BF128C" w:rsidRPr="00992FDF">
        <w:rPr>
          <w:rFonts w:eastAsiaTheme="minorHAnsi"/>
        </w:rPr>
        <w:t xml:space="preserve"> Federal </w:t>
      </w:r>
      <w:r w:rsidR="00BF128C" w:rsidRPr="00992FDF">
        <w:t>n</w:t>
      </w:r>
      <w:r w:rsidR="00BF128C" w:rsidRPr="00992FDF">
        <w:rPr>
          <w:rFonts w:eastAsiaTheme="minorHAnsi"/>
        </w:rPr>
        <w:t xml:space="preserve">º 10.282, </w:t>
      </w:r>
      <w:r w:rsidR="00BF128C" w:rsidRPr="00992FDF">
        <w:t>de</w:t>
      </w:r>
      <w:r w:rsidR="00BF128C" w:rsidRPr="00992FDF">
        <w:rPr>
          <w:rFonts w:eastAsiaTheme="minorHAnsi"/>
        </w:rPr>
        <w:t xml:space="preserve"> 20 </w:t>
      </w:r>
      <w:r w:rsidR="00BF128C" w:rsidRPr="00992FDF">
        <w:t>de março de</w:t>
      </w:r>
      <w:r w:rsidR="00BF128C" w:rsidRPr="00992FDF">
        <w:rPr>
          <w:rFonts w:eastAsiaTheme="minorHAnsi"/>
        </w:rPr>
        <w:t xml:space="preserve"> 2020</w:t>
      </w:r>
      <w:r w:rsidR="00C8592E" w:rsidRPr="00992FDF">
        <w:t>, o qual definiu os serviços públicos e as atividades essenciais que poderiam continuar funcionando durante a pandemia</w:t>
      </w:r>
      <w:r w:rsidR="00992FDF" w:rsidRPr="00992FDF">
        <w:t>.</w:t>
      </w:r>
    </w:p>
    <w:p w14:paraId="32F05854" w14:textId="3322EAD4" w:rsidR="00BF128C" w:rsidRPr="00992FDF" w:rsidRDefault="00C8592E" w:rsidP="00DB33D7">
      <w:pPr>
        <w:spacing w:before="240" w:line="360" w:lineRule="auto"/>
        <w:ind w:firstLine="708"/>
        <w:jc w:val="both"/>
      </w:pPr>
      <w:r w:rsidRPr="00992FDF">
        <w:t>Com o Decreto nº 10.282/2020 surgiu no mundo jurídico o</w:t>
      </w:r>
      <w:r w:rsidR="00BF128C" w:rsidRPr="00992FDF">
        <w:t xml:space="preserve"> conceito de “atividade essencial”, </w:t>
      </w:r>
      <w:r w:rsidR="00F23C9C">
        <w:t xml:space="preserve">entendidas como </w:t>
      </w:r>
      <w:r w:rsidR="00BF128C" w:rsidRPr="00992FDF">
        <w:t>aquela</w:t>
      </w:r>
      <w:r w:rsidRPr="00992FDF">
        <w:t>s</w:t>
      </w:r>
      <w:r w:rsidR="00BF128C" w:rsidRPr="00992FDF">
        <w:t xml:space="preserve"> atividade</w:t>
      </w:r>
      <w:r w:rsidRPr="00992FDF">
        <w:t>s “</w:t>
      </w:r>
      <w:r w:rsidRPr="00F252C2">
        <w:rPr>
          <w:i/>
          <w:iCs/>
        </w:rPr>
        <w:t>indispensáveis ao atendimento das necessidades inadiáveis da comunidade, assim considerados aqueles que, se não atendidos, colocam em perigo a sobrevivência, a saúde ou a segurança da população</w:t>
      </w:r>
      <w:r w:rsidRPr="00992FDF">
        <w:t xml:space="preserve">” (conforme § 1º do art. 3º). </w:t>
      </w:r>
      <w:r w:rsidR="00992FDF" w:rsidRPr="00992FDF">
        <w:t xml:space="preserve">Dentre </w:t>
      </w:r>
      <w:r w:rsidRPr="00992FDF">
        <w:t xml:space="preserve">as atividades essenciais </w:t>
      </w:r>
      <w:r w:rsidR="00992FDF" w:rsidRPr="00992FDF">
        <w:t xml:space="preserve">estava a atividade agrária (enquadrada no art. 3º, § 1º, inc. </w:t>
      </w:r>
      <w:r w:rsidRPr="00992FDF">
        <w:t>XII</w:t>
      </w:r>
      <w:r w:rsidR="00992FDF" w:rsidRPr="00992FDF">
        <w:t>, do Decreto), razão pela qual o agronegócio brasileiro não parou, em que pese algumas cadeias produtivas tenham sido diretamente afetadas pela pandemia, a exemplo da cadeia produtiva das flores</w:t>
      </w:r>
      <w:r w:rsidR="00B26D93">
        <w:t xml:space="preserve"> e </w:t>
      </w:r>
      <w:proofErr w:type="spellStart"/>
      <w:r w:rsidR="00B26D93">
        <w:t>hortifruticultura</w:t>
      </w:r>
      <w:proofErr w:type="spellEnd"/>
      <w:r w:rsidR="00992FDF" w:rsidRPr="00992FDF">
        <w:rPr>
          <w:vertAlign w:val="superscript"/>
        </w:rPr>
        <w:footnoteReference w:id="1"/>
      </w:r>
      <w:r w:rsidR="00992FDF" w:rsidRPr="00992FDF">
        <w:t xml:space="preserve">. </w:t>
      </w:r>
      <w:r w:rsidR="00883E9B" w:rsidRPr="00883E9B">
        <w:t xml:space="preserve">Na mesma linha, o Ministério da Agricultura, Pecuária e Abastecimento editou a Portaria </w:t>
      </w:r>
      <w:r w:rsidR="00883E9B">
        <w:t xml:space="preserve">nº </w:t>
      </w:r>
      <w:r w:rsidR="00883E9B" w:rsidRPr="00883E9B">
        <w:t>116/2020, que dispõe sobre os serviços, atividades e produtos assessórios à produção de alimentos e bebidas, essenciais para garantir o abastecimento e a segurança alimentar da população. </w:t>
      </w:r>
      <w:r w:rsidR="00B26D93" w:rsidRPr="00883E9B">
        <w:t>Embora</w:t>
      </w:r>
      <w:r w:rsidR="00B26D93">
        <w:t xml:space="preserve"> o Decreto nº 10.282/2020 tenha prestigiado as atividades agrárias como atividade essencial, registra-se a ocorrência de conflitos legislativos entre entes federativos, especialmente com relação à comercialização e industrialização dos produtos agropecuários</w:t>
      </w:r>
      <w:r w:rsidR="00E01D03">
        <w:rPr>
          <w:rStyle w:val="Refdenotaderodap"/>
        </w:rPr>
        <w:footnoteReference w:id="2"/>
      </w:r>
      <w:r w:rsidR="00B26D93">
        <w:t>.</w:t>
      </w:r>
      <w:r w:rsidR="00CF5279">
        <w:t xml:space="preserve"> </w:t>
      </w:r>
    </w:p>
    <w:p w14:paraId="23EB4C46" w14:textId="218FC060" w:rsidR="00E01D03" w:rsidRDefault="00BF128C" w:rsidP="005E3CF9">
      <w:pPr>
        <w:spacing w:line="360" w:lineRule="auto"/>
        <w:ind w:firstLine="708"/>
        <w:jc w:val="both"/>
      </w:pPr>
      <w:r w:rsidRPr="00992FDF">
        <w:t>No campo contratual</w:t>
      </w:r>
      <w:r w:rsidR="00F252C2">
        <w:t>,</w:t>
      </w:r>
      <w:r w:rsidRPr="00992FDF">
        <w:t xml:space="preserve"> houve grande temor com os efeitos da pandemia</w:t>
      </w:r>
      <w:r w:rsidR="00B26D93">
        <w:t xml:space="preserve"> sobre os contratos </w:t>
      </w:r>
      <w:r w:rsidR="00950D4D">
        <w:t>e o cumprimento das</w:t>
      </w:r>
      <w:r w:rsidR="00B26D93">
        <w:t xml:space="preserve"> demais obrigações de natureza privada</w:t>
      </w:r>
      <w:r w:rsidRPr="00992FDF">
        <w:t xml:space="preserve">, razão pela qual a </w:t>
      </w:r>
      <w:r w:rsidR="00950D4D">
        <w:t>“</w:t>
      </w:r>
      <w:r w:rsidRPr="00992FDF">
        <w:t>teoria da imprevisão</w:t>
      </w:r>
      <w:r w:rsidR="00950D4D">
        <w:t>”</w:t>
      </w:r>
      <w:r w:rsidRPr="00992FDF">
        <w:t xml:space="preserve">, a </w:t>
      </w:r>
      <w:r w:rsidR="00950D4D">
        <w:t>“</w:t>
      </w:r>
      <w:r w:rsidRPr="00992FDF">
        <w:t>força maior</w:t>
      </w:r>
      <w:r w:rsidR="00950D4D">
        <w:t>”</w:t>
      </w:r>
      <w:r w:rsidRPr="00992FDF">
        <w:t xml:space="preserve"> e o </w:t>
      </w:r>
      <w:r w:rsidR="00950D4D">
        <w:t>“</w:t>
      </w:r>
      <w:r w:rsidRPr="00992FDF">
        <w:t>caso fortuito</w:t>
      </w:r>
      <w:r w:rsidR="00950D4D">
        <w:t>”</w:t>
      </w:r>
      <w:r w:rsidRPr="00992FDF">
        <w:t xml:space="preserve"> foram temas revisitados pelos juristas</w:t>
      </w:r>
      <w:r w:rsidRPr="00992FDF">
        <w:rPr>
          <w:vertAlign w:val="superscript"/>
        </w:rPr>
        <w:footnoteReference w:id="3"/>
      </w:r>
      <w:r w:rsidRPr="00992FDF">
        <w:t xml:space="preserve">. </w:t>
      </w:r>
      <w:r w:rsidR="00950D4D">
        <w:t xml:space="preserve">O </w:t>
      </w:r>
      <w:r w:rsidR="00F252C2" w:rsidRPr="00F252C2">
        <w:t xml:space="preserve">Senador </w:t>
      </w:r>
      <w:proofErr w:type="spellStart"/>
      <w:r w:rsidR="00F252C2" w:rsidRPr="00F252C2">
        <w:t>Antonio</w:t>
      </w:r>
      <w:proofErr w:type="spellEnd"/>
      <w:r w:rsidR="00F252C2" w:rsidRPr="00F252C2">
        <w:t xml:space="preserve"> </w:t>
      </w:r>
      <w:proofErr w:type="spellStart"/>
      <w:r w:rsidR="00F252C2" w:rsidRPr="00F252C2">
        <w:t>Anastasia</w:t>
      </w:r>
      <w:proofErr w:type="spellEnd"/>
      <w:r w:rsidR="00F252C2" w:rsidRPr="00F252C2">
        <w:t xml:space="preserve"> apresentou o PLS nº 1</w:t>
      </w:r>
      <w:r w:rsidR="00E01D03">
        <w:t>.</w:t>
      </w:r>
      <w:r w:rsidR="00F252C2" w:rsidRPr="00F252C2">
        <w:t xml:space="preserve">179/2020, </w:t>
      </w:r>
      <w:r w:rsidR="00950D4D">
        <w:t>versando sobre</w:t>
      </w:r>
      <w:r w:rsidR="00F252C2">
        <w:t xml:space="preserve"> </w:t>
      </w:r>
      <w:r w:rsidR="00F252C2" w:rsidRPr="00F252C2">
        <w:t>“</w:t>
      </w:r>
      <w:r w:rsidR="00F252C2" w:rsidRPr="00F252C2">
        <w:rPr>
          <w:i/>
          <w:iCs/>
        </w:rPr>
        <w:t xml:space="preserve">Regime Jurídico Emergencial e Transitório das relações jurídicas de Direito Privado </w:t>
      </w:r>
      <w:r w:rsidR="00F252C2" w:rsidRPr="00F252C2">
        <w:rPr>
          <w:i/>
          <w:iCs/>
        </w:rPr>
        <w:lastRenderedPageBreak/>
        <w:t xml:space="preserve">(RJET) no período da pandemia do </w:t>
      </w:r>
      <w:proofErr w:type="spellStart"/>
      <w:r w:rsidR="00F252C2" w:rsidRPr="00F252C2">
        <w:rPr>
          <w:i/>
          <w:iCs/>
        </w:rPr>
        <w:t>Coronavírus</w:t>
      </w:r>
      <w:proofErr w:type="spellEnd"/>
      <w:r w:rsidR="00F252C2" w:rsidRPr="00F252C2">
        <w:rPr>
          <w:i/>
          <w:iCs/>
        </w:rPr>
        <w:t xml:space="preserve"> (Covid-19)</w:t>
      </w:r>
      <w:r w:rsidR="00F252C2" w:rsidRPr="00F252C2">
        <w:t>”, </w:t>
      </w:r>
      <w:r w:rsidR="00F252C2">
        <w:t xml:space="preserve">tendo como inspiração a </w:t>
      </w:r>
      <w:r w:rsidR="006C3DBB" w:rsidRPr="006C3DBB">
        <w:t xml:space="preserve">Lei </w:t>
      </w:r>
      <w:proofErr w:type="spellStart"/>
      <w:r w:rsidR="006C3DBB" w:rsidRPr="006C3DBB">
        <w:t>Faillot</w:t>
      </w:r>
      <w:proofErr w:type="spellEnd"/>
      <w:r w:rsidR="006C3DBB" w:rsidRPr="006C3DBB">
        <w:t>, de 21 de janeiro de 1918, que criou regras excepcionais para a aplicação da teoria da imprevisão no Direito francês</w:t>
      </w:r>
      <w:r w:rsidR="006C3DBB">
        <w:t xml:space="preserve"> durante a 1ª Guerra Mundial</w:t>
      </w:r>
      <w:r w:rsidR="006C3DBB">
        <w:rPr>
          <w:rStyle w:val="Refdenotaderodap"/>
        </w:rPr>
        <w:footnoteReference w:id="4"/>
      </w:r>
      <w:r w:rsidR="006C3DBB" w:rsidRPr="006C3DBB">
        <w:t>.</w:t>
      </w:r>
      <w:r w:rsidR="006C3DBB">
        <w:t xml:space="preserve"> O PLS trouxe </w:t>
      </w:r>
      <w:r w:rsidR="00F252C2" w:rsidRPr="00F252C2">
        <w:t>originalmente em seu Capítulo VII, disposições acerca dos contratos agrários e autorizando a aquisição de terras brasileiras por estrangeiros</w:t>
      </w:r>
      <w:r w:rsidR="00B26D93">
        <w:rPr>
          <w:rStyle w:val="Refdenotaderodap"/>
        </w:rPr>
        <w:footnoteReference w:id="5"/>
      </w:r>
      <w:r w:rsidR="00F252C2">
        <w:t>. Tais disposições</w:t>
      </w:r>
      <w:r w:rsidR="00F252C2" w:rsidRPr="00F252C2">
        <w:t xml:space="preserve"> foram retiradas da redação final que acabou dando origem à Lei Federal nº</w:t>
      </w:r>
      <w:r w:rsidR="00F252C2">
        <w:t xml:space="preserve"> 14.010, de 10 de junho de 2020</w:t>
      </w:r>
      <w:r w:rsidR="00883E9B">
        <w:t>, medida ao nosso ver acertada, uma vez que des</w:t>
      </w:r>
      <w:r w:rsidR="00E01D03">
        <w:t>necessárias as alterações dos contratos agrários</w:t>
      </w:r>
      <w:r w:rsidR="00E01D03">
        <w:rPr>
          <w:rStyle w:val="Refdenotaderodap"/>
        </w:rPr>
        <w:footnoteReference w:id="6"/>
      </w:r>
      <w:r w:rsidR="00E01D03">
        <w:t>.</w:t>
      </w:r>
    </w:p>
    <w:p w14:paraId="7DFBC07A" w14:textId="399920C7" w:rsidR="00950D4D" w:rsidRDefault="00BF128C" w:rsidP="005E3CF9">
      <w:pPr>
        <w:spacing w:line="360" w:lineRule="auto"/>
        <w:ind w:firstLine="708"/>
        <w:jc w:val="both"/>
      </w:pPr>
      <w:r w:rsidRPr="00992FDF">
        <w:t>Na área trabalhista houve a edição d</w:t>
      </w:r>
      <w:r w:rsidR="007E19C7">
        <w:t>a</w:t>
      </w:r>
      <w:r w:rsidR="00950D4D">
        <w:t>s</w:t>
      </w:r>
      <w:r w:rsidR="007E19C7">
        <w:t xml:space="preserve"> Medidas Provisórias nº 927, de 22 de março de 2020, e nº 936, de 1º de abril de 2020, essa última convertida na Lei nº 14.020, de 6 de julho de 2020, dispondo sobre o Programa Emergencial de Manutenção do Emprego e Renda dos trabalhadores. </w:t>
      </w:r>
    </w:p>
    <w:p w14:paraId="04155078" w14:textId="5F1FDCEA" w:rsidR="00950D4D" w:rsidRDefault="00950D4D" w:rsidP="005E3CF9">
      <w:pPr>
        <w:spacing w:line="360" w:lineRule="auto"/>
        <w:ind w:firstLine="708"/>
        <w:jc w:val="both"/>
        <w:rPr>
          <w:color w:val="222222"/>
        </w:rPr>
      </w:pPr>
      <w:r>
        <w:rPr>
          <w:color w:val="222222"/>
        </w:rPr>
        <w:t xml:space="preserve">O abastecimento alimentar e a necessidade de auxílio na manutenção de programas de Políticas Agrícolas referentes aos pequenos produtores rurais </w:t>
      </w:r>
      <w:proofErr w:type="gramStart"/>
      <w:r>
        <w:rPr>
          <w:color w:val="222222"/>
        </w:rPr>
        <w:t>foi</w:t>
      </w:r>
      <w:proofErr w:type="gramEnd"/>
      <w:r>
        <w:rPr>
          <w:color w:val="222222"/>
        </w:rPr>
        <w:t xml:space="preserve"> uma preocupação </w:t>
      </w:r>
      <w:r w:rsidR="00102FE5">
        <w:rPr>
          <w:color w:val="222222"/>
        </w:rPr>
        <w:t>dentre as medidas de enfrentamento dos efeitos sociais e econômicos da pandemia. Nesse sentido, f</w:t>
      </w:r>
      <w:r w:rsidR="00D8311A" w:rsidRPr="00950D4D">
        <w:rPr>
          <w:color w:val="222222"/>
        </w:rPr>
        <w:t xml:space="preserve">oi publicada a Lei nº 14.016, de 23 de junho de 2020, a qual dispõe sobre medidas sobre o combate ao desperdício de alimentos e a doação de excedentes de alimentos para o consumo humano. Além de estabelecer critérios para a doação de alimentos, a </w:t>
      </w:r>
      <w:r>
        <w:rPr>
          <w:color w:val="222222"/>
        </w:rPr>
        <w:t>Lei nº 14.016/2020</w:t>
      </w:r>
      <w:r w:rsidR="00D8311A" w:rsidRPr="00950D4D">
        <w:rPr>
          <w:color w:val="222222"/>
        </w:rPr>
        <w:t xml:space="preserve"> tr</w:t>
      </w:r>
      <w:r>
        <w:rPr>
          <w:color w:val="222222"/>
        </w:rPr>
        <w:t>ouxe</w:t>
      </w:r>
      <w:r w:rsidR="00D8311A" w:rsidRPr="00950D4D">
        <w:rPr>
          <w:color w:val="222222"/>
        </w:rPr>
        <w:t xml:space="preserve"> disposição específica para o período de vigência da emergência pela covid-19 prevendo que  "</w:t>
      </w:r>
      <w:r w:rsidR="00D8311A" w:rsidRPr="00950D4D">
        <w:rPr>
          <w:i/>
          <w:iCs/>
          <w:color w:val="222222"/>
        </w:rPr>
        <w:t xml:space="preserve">o governo federal procederá preferencialmente à aquisição de alimentos, pelo Programa de Aquisição de Alimentos (PAA), da parcela da produção de agricultores familiares e pescadores artesanais comercializada de forma direta e frustrada em consequência da suspensão espontânea </w:t>
      </w:r>
      <w:r w:rsidR="00D8311A" w:rsidRPr="00950D4D">
        <w:rPr>
          <w:i/>
          <w:iCs/>
          <w:color w:val="222222"/>
        </w:rPr>
        <w:lastRenderedPageBreak/>
        <w:t>ou compulsória do funcionamento de feiras e de outros equipamentos de comercialização direta</w:t>
      </w:r>
      <w:r w:rsidR="00D8311A" w:rsidRPr="00950D4D">
        <w:rPr>
          <w:color w:val="222222"/>
        </w:rPr>
        <w:t>"</w:t>
      </w:r>
      <w:r>
        <w:rPr>
          <w:rStyle w:val="Refdenotaderodap"/>
          <w:color w:val="222222"/>
        </w:rPr>
        <w:footnoteReference w:id="7"/>
      </w:r>
      <w:r w:rsidR="00D8311A" w:rsidRPr="00950D4D">
        <w:rPr>
          <w:color w:val="222222"/>
        </w:rPr>
        <w:t xml:space="preserve">. </w:t>
      </w:r>
    </w:p>
    <w:p w14:paraId="794DB382" w14:textId="77777777" w:rsidR="005E3CF9" w:rsidRDefault="00102FE5" w:rsidP="005E3CF9">
      <w:pPr>
        <w:spacing w:line="360" w:lineRule="auto"/>
        <w:ind w:firstLine="708"/>
        <w:jc w:val="both"/>
        <w:rPr>
          <w:rStyle w:val="apple-converted-space"/>
        </w:rPr>
      </w:pPr>
      <w:r>
        <w:rPr>
          <w:color w:val="222222"/>
        </w:rPr>
        <w:t xml:space="preserve">Na sequência, merece registro a publicação da </w:t>
      </w:r>
      <w:r w:rsidR="00D8311A" w:rsidRPr="00102FE5">
        <w:rPr>
          <w:color w:val="222222"/>
        </w:rPr>
        <w:t>Lei nº 14.048</w:t>
      </w:r>
      <w:r w:rsidR="00D8311A" w:rsidRPr="00950D4D">
        <w:rPr>
          <w:color w:val="222222"/>
        </w:rPr>
        <w:t xml:space="preserve">, de 24 de agosto de 2020 (Lei Assis Carvalho), que trata de medidas emergenciais de amparo à agricultores familiares em razão das medidas para enfrentamento da emergência de saúde pública relacionada ao </w:t>
      </w:r>
      <w:proofErr w:type="spellStart"/>
      <w:r>
        <w:rPr>
          <w:color w:val="222222"/>
        </w:rPr>
        <w:t>c</w:t>
      </w:r>
      <w:r w:rsidR="00D8311A" w:rsidRPr="00950D4D">
        <w:rPr>
          <w:color w:val="222222"/>
        </w:rPr>
        <w:t>oronavírus</w:t>
      </w:r>
      <w:proofErr w:type="spellEnd"/>
      <w:r w:rsidR="00D8311A" w:rsidRPr="00950D4D">
        <w:rPr>
          <w:color w:val="222222"/>
        </w:rPr>
        <w:t xml:space="preserve"> e impossibilitados de</w:t>
      </w:r>
      <w:r w:rsidR="00D8311A" w:rsidRPr="00950D4D">
        <w:rPr>
          <w:rStyle w:val="apple-converted-space"/>
          <w:color w:val="222222"/>
        </w:rPr>
        <w:t> </w:t>
      </w:r>
      <w:r w:rsidR="00D8311A" w:rsidRPr="00950D4D">
        <w:rPr>
          <w:color w:val="222222"/>
        </w:rPr>
        <w:t>comercializar sua produção também por medidas determinadas pelos executivos municipais</w:t>
      </w:r>
      <w:r>
        <w:rPr>
          <w:rStyle w:val="Refdenotaderodap"/>
          <w:color w:val="222222"/>
        </w:rPr>
        <w:footnoteReference w:id="8"/>
      </w:r>
      <w:r w:rsidR="00D8311A" w:rsidRPr="00950D4D">
        <w:rPr>
          <w:color w:val="222222"/>
        </w:rPr>
        <w:t>.</w:t>
      </w:r>
      <w:r w:rsidR="00D8311A" w:rsidRPr="00950D4D">
        <w:rPr>
          <w:rStyle w:val="apple-converted-space"/>
          <w:color w:val="222222"/>
          <w:shd w:val="clear" w:color="auto" w:fill="FFFFFF"/>
        </w:rPr>
        <w:t> </w:t>
      </w:r>
    </w:p>
    <w:p w14:paraId="0A491D3A" w14:textId="70FB71E8" w:rsidR="00FC7080" w:rsidRPr="00992FDF" w:rsidRDefault="00FC7080" w:rsidP="005E3CF9">
      <w:pPr>
        <w:spacing w:line="360" w:lineRule="auto"/>
        <w:ind w:firstLine="708"/>
        <w:jc w:val="both"/>
      </w:pPr>
      <w:r w:rsidRPr="00992FDF">
        <w:tab/>
      </w:r>
    </w:p>
    <w:p w14:paraId="0321A136" w14:textId="45838583" w:rsidR="009D6FDC" w:rsidRPr="00D13E93" w:rsidRDefault="00635A63" w:rsidP="004738F3">
      <w:pPr>
        <w:spacing w:line="360" w:lineRule="auto"/>
        <w:ind w:firstLine="708"/>
        <w:jc w:val="both"/>
        <w:rPr>
          <w:b/>
          <w:bCs/>
        </w:rPr>
      </w:pPr>
      <w:r>
        <w:rPr>
          <w:b/>
          <w:bCs/>
        </w:rPr>
        <w:t xml:space="preserve">2. </w:t>
      </w:r>
      <w:r w:rsidR="009D6FDC" w:rsidRPr="00D13E93">
        <w:rPr>
          <w:b/>
          <w:bCs/>
        </w:rPr>
        <w:t xml:space="preserve">O Fisco </w:t>
      </w:r>
      <w:r w:rsidR="00F23C9C">
        <w:rPr>
          <w:b/>
          <w:bCs/>
        </w:rPr>
        <w:t>e</w:t>
      </w:r>
      <w:r w:rsidR="009D6FDC" w:rsidRPr="00D13E93">
        <w:rPr>
          <w:b/>
          <w:bCs/>
        </w:rPr>
        <w:t xml:space="preserve"> o cerco ao agronegócio</w:t>
      </w:r>
    </w:p>
    <w:p w14:paraId="60809832" w14:textId="1CE8A364" w:rsidR="00D13E93" w:rsidRDefault="00D13E93" w:rsidP="005E3CF9">
      <w:pPr>
        <w:spacing w:line="360" w:lineRule="auto"/>
        <w:jc w:val="both"/>
      </w:pPr>
    </w:p>
    <w:p w14:paraId="23D0F664" w14:textId="089E1BD9" w:rsidR="00537426" w:rsidRDefault="00537426" w:rsidP="005E3CF9">
      <w:pPr>
        <w:spacing w:line="360" w:lineRule="auto"/>
        <w:jc w:val="both"/>
      </w:pPr>
      <w:r>
        <w:tab/>
      </w:r>
      <w:r w:rsidR="00851038">
        <w:t xml:space="preserve">As questões tributárias são motivos de constante preocupação </w:t>
      </w:r>
      <w:r w:rsidR="008230A7">
        <w:t xml:space="preserve">para os produtores rurais e </w:t>
      </w:r>
      <w:r w:rsidR="002119C3">
        <w:t>a queda d</w:t>
      </w:r>
      <w:r w:rsidR="005A48B6">
        <w:t>as</w:t>
      </w:r>
      <w:r w:rsidR="002119C3">
        <w:t xml:space="preserve"> receitas </w:t>
      </w:r>
      <w:r w:rsidR="005A48B6">
        <w:t>públicas por conta</w:t>
      </w:r>
      <w:r w:rsidR="002119C3">
        <w:t xml:space="preserve"> da pandemia </w:t>
      </w:r>
      <w:r w:rsidR="008D5ADE">
        <w:t>fez aumentar o apetite arrecadatório do fisco sobre o agronegócio</w:t>
      </w:r>
      <w:r w:rsidR="00A933EF">
        <w:t xml:space="preserve"> (que de um lado foi festejado como herói da economia e de outro </w:t>
      </w:r>
      <w:r w:rsidR="00FD72FE">
        <w:t xml:space="preserve">visto como </w:t>
      </w:r>
      <w:r w:rsidR="00735658">
        <w:t>alvo para a tribut</w:t>
      </w:r>
      <w:r w:rsidR="005A2D2F">
        <w:t>ação</w:t>
      </w:r>
      <w:r w:rsidR="00735658">
        <w:t xml:space="preserve">). </w:t>
      </w:r>
      <w:r w:rsidR="00A933EF">
        <w:t xml:space="preserve"> </w:t>
      </w:r>
      <w:r w:rsidR="005A271E">
        <w:t xml:space="preserve">Nesse sentido, </w:t>
      </w:r>
      <w:r w:rsidR="007A2F8E">
        <w:t xml:space="preserve">repercutiu no meio jurídico o </w:t>
      </w:r>
      <w:r w:rsidR="008230A7">
        <w:t xml:space="preserve">alerta </w:t>
      </w:r>
      <w:r w:rsidR="0020494B">
        <w:t xml:space="preserve">“profético” </w:t>
      </w:r>
      <w:r w:rsidR="008230A7">
        <w:t xml:space="preserve">feito pelo </w:t>
      </w:r>
      <w:r w:rsidR="00AF7C2C">
        <w:t xml:space="preserve">advogado e professor Fábio </w:t>
      </w:r>
      <w:proofErr w:type="spellStart"/>
      <w:r w:rsidR="00AF7C2C">
        <w:t>Calcini</w:t>
      </w:r>
      <w:proofErr w:type="spellEnd"/>
      <w:r w:rsidR="00FA4897">
        <w:t xml:space="preserve">, no sentido que o agronegócio estava na mira </w:t>
      </w:r>
      <w:r w:rsidR="004A6A08">
        <w:t>da fiscalização tributári</w:t>
      </w:r>
      <w:r w:rsidR="0020494B">
        <w:t>a</w:t>
      </w:r>
      <w:r w:rsidR="00916504">
        <w:rPr>
          <w:rStyle w:val="Refdenotaderodap"/>
        </w:rPr>
        <w:footnoteReference w:id="9"/>
      </w:r>
      <w:r w:rsidR="005A48B6">
        <w:t>, o que se confirmou ao longo do ano</w:t>
      </w:r>
      <w:r w:rsidR="0020494B">
        <w:t>.</w:t>
      </w:r>
      <w:r w:rsidR="00316A04">
        <w:t xml:space="preserve"> </w:t>
      </w:r>
      <w:r w:rsidR="0020494B">
        <w:t xml:space="preserve"> </w:t>
      </w:r>
    </w:p>
    <w:p w14:paraId="39AA4425" w14:textId="768B84E5" w:rsidR="007C5559" w:rsidRDefault="007C5559" w:rsidP="005E3CF9">
      <w:pPr>
        <w:spacing w:line="360" w:lineRule="auto"/>
        <w:jc w:val="both"/>
      </w:pPr>
      <w:r>
        <w:tab/>
      </w:r>
      <w:r w:rsidR="005A48B6">
        <w:t>Nesse sentido, u</w:t>
      </w:r>
      <w:r w:rsidR="004E4761">
        <w:t xml:space="preserve">m dos assuntos que ganhou a cena </w:t>
      </w:r>
      <w:r w:rsidR="00412CC5">
        <w:t>em 2020</w:t>
      </w:r>
      <w:r w:rsidR="00027E8C">
        <w:t xml:space="preserve"> </w:t>
      </w:r>
      <w:r w:rsidR="004E4761">
        <w:t xml:space="preserve">foi o movimento dos municípios com relação ao aumento da arrecadação do </w:t>
      </w:r>
      <w:r w:rsidR="003F4C5A">
        <w:t xml:space="preserve">Imposto Territorial Rural </w:t>
      </w:r>
      <w:r w:rsidR="00197E24">
        <w:t>–</w:t>
      </w:r>
      <w:r w:rsidR="003F4C5A">
        <w:t xml:space="preserve"> </w:t>
      </w:r>
      <w:r w:rsidR="004E4761">
        <w:t>ITR</w:t>
      </w:r>
      <w:r w:rsidR="00197E24">
        <w:t>,</w:t>
      </w:r>
      <w:r w:rsidR="004E4761">
        <w:t xml:space="preserve"> mediante a reavaliação do </w:t>
      </w:r>
      <w:r w:rsidR="003F4C5A">
        <w:t xml:space="preserve">Valor da Terra Nua </w:t>
      </w:r>
      <w:r w:rsidR="00D92B91">
        <w:t>–</w:t>
      </w:r>
      <w:r w:rsidR="003F4C5A">
        <w:t xml:space="preserve"> </w:t>
      </w:r>
      <w:r w:rsidR="004E4761">
        <w:t>VTN</w:t>
      </w:r>
      <w:r w:rsidR="00197E24">
        <w:t xml:space="preserve">. </w:t>
      </w:r>
      <w:r w:rsidR="009025A4">
        <w:t xml:space="preserve">A problemática ocorre </w:t>
      </w:r>
      <w:r w:rsidR="009F69F4">
        <w:t>por</w:t>
      </w:r>
      <w:r w:rsidR="00D92B91">
        <w:t>que muitos municípios est</w:t>
      </w:r>
      <w:r w:rsidR="00B42F18">
        <w:t>ão</w:t>
      </w:r>
      <w:r w:rsidR="00D92B91">
        <w:t xml:space="preserve"> reajustando o </w:t>
      </w:r>
      <w:r w:rsidR="00303BF5">
        <w:t xml:space="preserve">VTN sem a observância </w:t>
      </w:r>
      <w:r w:rsidR="00B42F18">
        <w:t>de critérios técnicos e legais</w:t>
      </w:r>
      <w:r w:rsidR="009F69F4">
        <w:t xml:space="preserve">, ressaltando que a </w:t>
      </w:r>
      <w:r w:rsidR="00D70CAD">
        <w:t>avaliação do VTN deve ser feita por profissional técnico habilitado (agrônomo)</w:t>
      </w:r>
      <w:r w:rsidR="00B42F18">
        <w:rPr>
          <w:rStyle w:val="Refdenotaderodap"/>
        </w:rPr>
        <w:footnoteReference w:id="10"/>
      </w:r>
      <w:r w:rsidR="004E4761">
        <w:t>.</w:t>
      </w:r>
    </w:p>
    <w:p w14:paraId="161DD174" w14:textId="29BAABFF" w:rsidR="00745C7A" w:rsidRDefault="00601138" w:rsidP="005E3CF9">
      <w:pPr>
        <w:spacing w:line="360" w:lineRule="auto"/>
        <w:jc w:val="both"/>
      </w:pPr>
      <w:r>
        <w:tab/>
      </w:r>
      <w:r w:rsidR="00027E8C">
        <w:t xml:space="preserve">Outro assunto que chamou a atenção, </w:t>
      </w:r>
      <w:r w:rsidR="00980F84">
        <w:t xml:space="preserve">foi a deflagração da chamada Operação Declara Grãos pela Receita Federal, </w:t>
      </w:r>
      <w:r w:rsidR="00745C7A">
        <w:t xml:space="preserve">na qual mais de 12 mil produtores rurais do Rio Grande do Sul foram notificados com o objetivo de apurar inconsistências </w:t>
      </w:r>
      <w:r w:rsidR="002F0728">
        <w:t xml:space="preserve">e sonegação </w:t>
      </w:r>
      <w:r w:rsidR="002F0728">
        <w:lastRenderedPageBreak/>
        <w:t>fiscal</w:t>
      </w:r>
      <w:r w:rsidR="000E016A">
        <w:t xml:space="preserve">, tendo como alvo principal </w:t>
      </w:r>
      <w:r w:rsidR="00B33478">
        <w:t>as receitas decorrentes de</w:t>
      </w:r>
      <w:r w:rsidR="000E016A">
        <w:t xml:space="preserve"> </w:t>
      </w:r>
      <w:r w:rsidR="00B33478">
        <w:t>“</w:t>
      </w:r>
      <w:r w:rsidR="000E016A">
        <w:t>contratos de parceria rural</w:t>
      </w:r>
      <w:r w:rsidR="00B33478">
        <w:t xml:space="preserve"> simulados” (tecnicamente conhecidos como “contratos de arrendamento denominados de parceria rural</w:t>
      </w:r>
      <w:r w:rsidR="00D655FB">
        <w:t>”)</w:t>
      </w:r>
      <w:r w:rsidR="00D655FB">
        <w:rPr>
          <w:rStyle w:val="Refdenotaderodap"/>
        </w:rPr>
        <w:footnoteReference w:id="11"/>
      </w:r>
      <w:r w:rsidR="00D655FB">
        <w:t>.</w:t>
      </w:r>
      <w:r w:rsidR="000E016A">
        <w:t xml:space="preserve"> </w:t>
      </w:r>
      <w:r w:rsidR="005A48B6">
        <w:t>Há a tendência de que tais operações ocorram pelo restante do país em 2021.</w:t>
      </w:r>
    </w:p>
    <w:p w14:paraId="34338D93" w14:textId="39B468EC" w:rsidR="00316A04" w:rsidRDefault="000C6684" w:rsidP="007E4420">
      <w:pPr>
        <w:spacing w:line="360" w:lineRule="auto"/>
        <w:jc w:val="both"/>
      </w:pPr>
      <w:r>
        <w:tab/>
        <w:t xml:space="preserve">Além disso, o ano de 2020 também foi marcado por importantes julgados do STF em matéria de </w:t>
      </w:r>
      <w:r w:rsidR="002446F3">
        <w:t>tributação do agronegócio.</w:t>
      </w:r>
      <w:r w:rsidR="008C2D1B">
        <w:t xml:space="preserve"> Dentre os eles, destacamos o julgamento</w:t>
      </w:r>
      <w:r w:rsidR="00D639DF">
        <w:t xml:space="preserve"> do Tema nº </w:t>
      </w:r>
      <w:r w:rsidR="00A60A26">
        <w:t xml:space="preserve">796 da repercussão geral, que tratou </w:t>
      </w:r>
      <w:r w:rsidR="00D13E93" w:rsidRPr="007E4420">
        <w:t>da incidência ou não do Imposto sobre Transmissão de Bens Imóveis – ITBI, sobre a diferença entre o valor do capital social e o valor dos imóveis subscritos, tal como declarado, por cada sócio, no contrato societário.</w:t>
      </w:r>
      <w:r w:rsidR="00F90A80">
        <w:t xml:space="preserve"> </w:t>
      </w:r>
      <w:r w:rsidR="00C220C1">
        <w:t xml:space="preserve">Na ocasião o STF fixou entendimento no sentido da incidência </w:t>
      </w:r>
      <w:r w:rsidR="007C42C2">
        <w:t xml:space="preserve">do ITBI sobre a referida diferença, </w:t>
      </w:r>
      <w:r w:rsidR="00667042">
        <w:t xml:space="preserve">possuindo relação direta com </w:t>
      </w:r>
      <w:r w:rsidR="006E1995">
        <w:t>constituição d</w:t>
      </w:r>
      <w:r w:rsidR="00667042">
        <w:t>as chamadas “holdings rurais”</w:t>
      </w:r>
      <w:r w:rsidR="00667042">
        <w:rPr>
          <w:rStyle w:val="Refdenotaderodap"/>
        </w:rPr>
        <w:footnoteReference w:id="12"/>
      </w:r>
      <w:r w:rsidR="00667042">
        <w:t>.</w:t>
      </w:r>
    </w:p>
    <w:p w14:paraId="5138E1DF" w14:textId="796511A7" w:rsidR="004738F3" w:rsidRPr="00677C65" w:rsidRDefault="00F90A80" w:rsidP="00390D3E">
      <w:pPr>
        <w:spacing w:line="360" w:lineRule="auto"/>
        <w:jc w:val="both"/>
      </w:pPr>
      <w:r>
        <w:tab/>
        <w:t xml:space="preserve">Outro importante julgado </w:t>
      </w:r>
      <w:r w:rsidR="005833DD">
        <w:t xml:space="preserve">foi referente a </w:t>
      </w:r>
      <w:r w:rsidR="008F29A7">
        <w:t xml:space="preserve">imunidade do </w:t>
      </w:r>
      <w:proofErr w:type="spellStart"/>
      <w:r w:rsidR="008F29A7">
        <w:t>Funrural</w:t>
      </w:r>
      <w:proofErr w:type="spellEnd"/>
      <w:r w:rsidR="008F29A7">
        <w:t xml:space="preserve"> sobre as exportações, </w:t>
      </w:r>
      <w:r w:rsidR="00390D3E">
        <w:t>no</w:t>
      </w:r>
      <w:r w:rsidR="00390D3E">
        <w:rPr>
          <w:rFonts w:ascii="Droid Sans" w:hAnsi="Droid Sans"/>
          <w:color w:val="333333"/>
          <w:sz w:val="20"/>
          <w:szCs w:val="20"/>
          <w:shd w:val="clear" w:color="auto" w:fill="FFFFFF"/>
        </w:rPr>
        <w:t xml:space="preserve"> </w:t>
      </w:r>
      <w:r w:rsidR="00AB7938" w:rsidRPr="00390D3E">
        <w:t>julgamento da Ação Direta de Inconstitucionalidade nº 4735 e do Recurso Extraordinário</w:t>
      </w:r>
      <w:r w:rsidR="00FC2E62">
        <w:t xml:space="preserve"> </w:t>
      </w:r>
      <w:r w:rsidR="00AB7938" w:rsidRPr="00390D3E">
        <w:t xml:space="preserve">nº 759.244, </w:t>
      </w:r>
      <w:r w:rsidR="00175230">
        <w:t>relativo</w:t>
      </w:r>
      <w:r w:rsidR="005A48B6">
        <w:t>s</w:t>
      </w:r>
      <w:r w:rsidR="00175230">
        <w:t xml:space="preserve"> ao </w:t>
      </w:r>
      <w:r w:rsidR="00AB7938" w:rsidRPr="00390D3E">
        <w:t xml:space="preserve">Tema nº 674 da </w:t>
      </w:r>
      <w:r w:rsidR="00175230">
        <w:t>r</w:t>
      </w:r>
      <w:r w:rsidR="00AB7938" w:rsidRPr="00390D3E">
        <w:t xml:space="preserve">epercussão </w:t>
      </w:r>
      <w:r w:rsidR="00175230">
        <w:t>g</w:t>
      </w:r>
      <w:r w:rsidR="00AB7938" w:rsidRPr="00390D3E">
        <w:t>eral</w:t>
      </w:r>
      <w:r w:rsidR="00175230">
        <w:t>, tendo o STF fixado a tese</w:t>
      </w:r>
      <w:r w:rsidR="00AB7938" w:rsidRPr="00390D3E">
        <w:t xml:space="preserve"> de que “</w:t>
      </w:r>
      <w:r w:rsidR="00AB7938" w:rsidRPr="00390D3E">
        <w:rPr>
          <w:i/>
          <w:iCs/>
        </w:rPr>
        <w:t>a norma imunizante contida no inciso I do § 2º do art. 149 da Constituição da República alcança as receitas decorrentes de operações indiretas de exportação caracterizadas por haver participação negocial de sociedade exportadora intermediária</w:t>
      </w:r>
      <w:r w:rsidR="00390D3E">
        <w:t>”</w:t>
      </w:r>
      <w:r w:rsidR="00175230">
        <w:rPr>
          <w:rStyle w:val="Refdenotaderodap"/>
        </w:rPr>
        <w:footnoteReference w:id="13"/>
      </w:r>
      <w:r w:rsidR="00390D3E">
        <w:t xml:space="preserve">. </w:t>
      </w:r>
    </w:p>
    <w:p w14:paraId="49F0D3A0" w14:textId="36F37F50" w:rsidR="009D6FDC" w:rsidRPr="00992FDF" w:rsidRDefault="009D6FDC" w:rsidP="00992FDF">
      <w:pPr>
        <w:jc w:val="both"/>
      </w:pPr>
    </w:p>
    <w:p w14:paraId="3667DFE7" w14:textId="4FE2B3C3" w:rsidR="009D6FDC" w:rsidRDefault="00635A63" w:rsidP="004738F3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3. </w:t>
      </w:r>
      <w:r w:rsidR="009D6FDC" w:rsidRPr="00677C65">
        <w:rPr>
          <w:b/>
          <w:bCs/>
        </w:rPr>
        <w:t>Meio ambiente agrário</w:t>
      </w:r>
      <w:r w:rsidR="00FC7080" w:rsidRPr="00677C65">
        <w:rPr>
          <w:b/>
          <w:bCs/>
        </w:rPr>
        <w:t xml:space="preserve"> </w:t>
      </w:r>
    </w:p>
    <w:p w14:paraId="5EE888C8" w14:textId="77777777" w:rsidR="00AF20AE" w:rsidRDefault="00AF20AE" w:rsidP="00DA0CEC">
      <w:pPr>
        <w:spacing w:line="360" w:lineRule="auto"/>
        <w:jc w:val="both"/>
      </w:pPr>
    </w:p>
    <w:p w14:paraId="5096EDCA" w14:textId="47D559F3" w:rsidR="004738F3" w:rsidRDefault="004738F3" w:rsidP="00AF20AE">
      <w:pPr>
        <w:spacing w:line="360" w:lineRule="auto"/>
        <w:ind w:firstLine="708"/>
        <w:jc w:val="both"/>
      </w:pPr>
      <w:r w:rsidRPr="004738F3">
        <w:t xml:space="preserve">O ano </w:t>
      </w:r>
      <w:r>
        <w:t>de 2020 também foi marcado por polêmicas envolvendo o meio ambiente e o agronegócio, principalmente p</w:t>
      </w:r>
      <w:r w:rsidR="002418D2">
        <w:t xml:space="preserve">elas queimadas e o desmatamento, em especial na Região Amazônica e no Pantanal, que foram objeto de </w:t>
      </w:r>
      <w:r w:rsidR="00027BF6">
        <w:t>críticas internacionais contra o Brasil.</w:t>
      </w:r>
    </w:p>
    <w:p w14:paraId="70646682" w14:textId="566E4D60" w:rsidR="00D8311A" w:rsidRDefault="005E5DAA" w:rsidP="00AF20AE">
      <w:pPr>
        <w:spacing w:line="360" w:lineRule="auto"/>
        <w:ind w:firstLine="708"/>
        <w:jc w:val="both"/>
      </w:pPr>
      <w:r>
        <w:t xml:space="preserve">Por conta disso, </w:t>
      </w:r>
      <w:r w:rsidR="00741C3C">
        <w:t xml:space="preserve">no âmbito legislativo, </w:t>
      </w:r>
      <w:r w:rsidR="000C0031">
        <w:t>houve</w:t>
      </w:r>
      <w:r>
        <w:t xml:space="preserve"> a edição do </w:t>
      </w:r>
      <w:r w:rsidR="00741C3C">
        <w:t>Decreto nº 10.</w:t>
      </w:r>
      <w:r w:rsidR="00E469AA">
        <w:t xml:space="preserve">421, de 9 de julho de 2020, que </w:t>
      </w:r>
      <w:r w:rsidR="00D8311A" w:rsidRPr="00E469AA">
        <w:t xml:space="preserve">autoriza o emprego das Forças Armadas na Garantia da Lei e da Ordem e em ações subsidiárias na faixa de fronteira, nas terras indígenas, nas unidades </w:t>
      </w:r>
      <w:r w:rsidR="00D8311A" w:rsidRPr="00E469AA">
        <w:lastRenderedPageBreak/>
        <w:t>federais de conservação ambiental e em outras áreas federais nos Estados da Amazônia</w:t>
      </w:r>
      <w:r w:rsidR="00D8311A" w:rsidRPr="00AF20AE">
        <w:t xml:space="preserve"> Legal</w:t>
      </w:r>
      <w:r w:rsidR="00AF20AE" w:rsidRPr="00AF20AE">
        <w:t>.</w:t>
      </w:r>
    </w:p>
    <w:p w14:paraId="617DC1A3" w14:textId="52C7A0CA" w:rsidR="00257A23" w:rsidRDefault="00AC457C" w:rsidP="00252581">
      <w:pPr>
        <w:spacing w:line="360" w:lineRule="auto"/>
        <w:ind w:firstLine="708"/>
        <w:jc w:val="both"/>
      </w:pPr>
      <w:r>
        <w:t xml:space="preserve">No ano de 2020, o STF </w:t>
      </w:r>
      <w:r w:rsidRPr="000C0031">
        <w:t xml:space="preserve">concluiu o julgamento da ADI nº 5475, ajuizada em 17 de fevereiro de 2016, pelo então Procurador Geral da República, Rodrigo </w:t>
      </w:r>
      <w:proofErr w:type="spellStart"/>
      <w:r w:rsidRPr="000C0031">
        <w:t>Janot</w:t>
      </w:r>
      <w:proofErr w:type="spellEnd"/>
      <w:r w:rsidRPr="000C0031">
        <w:t>, discutindo o artigo 12, inciso IV, § 7º, da Lei Complementar nº 5, de 1994, do Amapá, alterada pela Lei Complementar nº 70, de 2012, que cuidou da “Licença Ambiental Única (LAU)” para atividades e empreendimentos relacionados à agricultura, pecuária, avicultura e outras, além de extrativismo e de atividades agroindustriais, sem o prévio estudo de impacto ambiental</w:t>
      </w:r>
      <w:r>
        <w:rPr>
          <w:rStyle w:val="Refdenotaderodap"/>
        </w:rPr>
        <w:footnoteReference w:id="14"/>
      </w:r>
      <w:r w:rsidRPr="000C0031">
        <w:t>. </w:t>
      </w:r>
      <w:r w:rsidR="00252581">
        <w:t>O referido julgado merece destaque, uma vez que tramita no Legislativo o Projeto de Lei referente ao Licenciamento Ambiental, o qual poderá trazer reflexos diretos para as atividades agrárias.</w:t>
      </w:r>
    </w:p>
    <w:p w14:paraId="12570A16" w14:textId="368B7256" w:rsidR="00802089" w:rsidRDefault="001B51AF" w:rsidP="000C0031">
      <w:pPr>
        <w:spacing w:line="360" w:lineRule="auto"/>
        <w:ind w:firstLine="708"/>
        <w:jc w:val="both"/>
      </w:pPr>
      <w:r>
        <w:t xml:space="preserve">No </w:t>
      </w:r>
      <w:r w:rsidR="00AC457C">
        <w:t>âmbito legislativo, m</w:t>
      </w:r>
      <w:r w:rsidR="000C0031">
        <w:t xml:space="preserve">erece grande destaque a edição do Decreto </w:t>
      </w:r>
      <w:r w:rsidR="00183598" w:rsidRPr="000C0031">
        <w:t>nº 10.375, de 26</w:t>
      </w:r>
      <w:r w:rsidR="000C0031">
        <w:t xml:space="preserve"> de maio de </w:t>
      </w:r>
      <w:r w:rsidR="00183598" w:rsidRPr="000C0031">
        <w:t>2020</w:t>
      </w:r>
      <w:r w:rsidR="000C0031">
        <w:t xml:space="preserve">, </w:t>
      </w:r>
      <w:proofErr w:type="gramStart"/>
      <w:r w:rsidR="000C0031">
        <w:t xml:space="preserve">que </w:t>
      </w:r>
      <w:r w:rsidR="00183598" w:rsidRPr="000C0031">
        <w:t> </w:t>
      </w:r>
      <w:r w:rsidR="000C0031">
        <w:t>i</w:t>
      </w:r>
      <w:r w:rsidR="00183598" w:rsidRPr="000C0031">
        <w:t>nstitui</w:t>
      </w:r>
      <w:r w:rsidR="0004634C">
        <w:t>u</w:t>
      </w:r>
      <w:proofErr w:type="gramEnd"/>
      <w:r w:rsidR="00183598" w:rsidRPr="000C0031">
        <w:t xml:space="preserve"> o Programa Nacional de </w:t>
      </w:r>
      <w:proofErr w:type="spellStart"/>
      <w:r w:rsidR="00183598" w:rsidRPr="000C0031">
        <w:t>Bioinsumos</w:t>
      </w:r>
      <w:proofErr w:type="spellEnd"/>
      <w:r w:rsidR="00183598" w:rsidRPr="000C0031">
        <w:t xml:space="preserve"> e o Conselho Estratégico do Programa Nacional de </w:t>
      </w:r>
      <w:proofErr w:type="spellStart"/>
      <w:r w:rsidR="00183598" w:rsidRPr="000C0031">
        <w:t>Bioinsumos</w:t>
      </w:r>
      <w:proofErr w:type="spellEnd"/>
      <w:r w:rsidR="001A2F30">
        <w:t xml:space="preserve">, o que pode alavancar o agronegócio brasileiro como potência mundial também em </w:t>
      </w:r>
      <w:r w:rsidR="00A172E3">
        <w:t xml:space="preserve">matéria de </w:t>
      </w:r>
      <w:proofErr w:type="spellStart"/>
      <w:r w:rsidR="00A172E3">
        <w:t>bioeconomia</w:t>
      </w:r>
      <w:proofErr w:type="spellEnd"/>
      <w:r w:rsidR="000C0031">
        <w:t>.</w:t>
      </w:r>
      <w:r w:rsidR="00B735D7">
        <w:t xml:space="preserve"> </w:t>
      </w:r>
    </w:p>
    <w:p w14:paraId="0BDB1395" w14:textId="71E64DEC" w:rsidR="00252581" w:rsidRDefault="001B51AF" w:rsidP="00DA0CEC">
      <w:pPr>
        <w:spacing w:line="360" w:lineRule="auto"/>
        <w:ind w:firstLine="708"/>
        <w:jc w:val="both"/>
      </w:pPr>
      <w:r>
        <w:t>Por fim</w:t>
      </w:r>
      <w:r w:rsidR="00B735D7">
        <w:t xml:space="preserve">, vale </w:t>
      </w:r>
      <w:r w:rsidR="005B027B">
        <w:t>recordar que uma das consequências diretas da pandemia do covid</w:t>
      </w:r>
      <w:r w:rsidR="002E680F">
        <w:t>-19, cuja origem está associada com o consumo de carnes de animais silvestres,</w:t>
      </w:r>
      <w:r w:rsidR="005B027B">
        <w:t xml:space="preserve"> é a preocupação mundial com questões ambientais e sanitárias.</w:t>
      </w:r>
      <w:r w:rsidR="00802089">
        <w:t xml:space="preserve"> Assim, a questão ambiental </w:t>
      </w:r>
      <w:r w:rsidR="002F1A51">
        <w:t xml:space="preserve">ganhou corpo com </w:t>
      </w:r>
      <w:r w:rsidR="007A3454">
        <w:t xml:space="preserve">a popularização </w:t>
      </w:r>
      <w:r w:rsidR="0065731F">
        <w:t xml:space="preserve">do chamado </w:t>
      </w:r>
      <w:r w:rsidR="00A46A70">
        <w:t>“</w:t>
      </w:r>
      <w:r w:rsidR="0065731F">
        <w:t>ESG</w:t>
      </w:r>
      <w:r w:rsidR="00A46A70">
        <w:t>”</w:t>
      </w:r>
      <w:r w:rsidR="0065731F">
        <w:t xml:space="preserve"> (sigla em inglês para </w:t>
      </w:r>
      <w:r w:rsidR="00A46A70" w:rsidRPr="00A46A70">
        <w:rPr>
          <w:i/>
          <w:iCs/>
        </w:rPr>
        <w:t>E</w:t>
      </w:r>
      <w:r w:rsidR="00B17770" w:rsidRPr="00A46A70">
        <w:rPr>
          <w:i/>
          <w:iCs/>
        </w:rPr>
        <w:t xml:space="preserve">nvironmental, </w:t>
      </w:r>
      <w:r w:rsidR="00A46A70" w:rsidRPr="00A46A70">
        <w:rPr>
          <w:i/>
          <w:iCs/>
        </w:rPr>
        <w:t>S</w:t>
      </w:r>
      <w:r w:rsidR="00B17770" w:rsidRPr="00A46A70">
        <w:rPr>
          <w:i/>
          <w:iCs/>
        </w:rPr>
        <w:t xml:space="preserve">ocial </w:t>
      </w:r>
      <w:proofErr w:type="spellStart"/>
      <w:r w:rsidR="00B17770" w:rsidRPr="00A46A70">
        <w:rPr>
          <w:i/>
          <w:iCs/>
        </w:rPr>
        <w:t>and</w:t>
      </w:r>
      <w:proofErr w:type="spellEnd"/>
      <w:r w:rsidR="00B17770" w:rsidRPr="00A46A70">
        <w:rPr>
          <w:i/>
          <w:iCs/>
        </w:rPr>
        <w:t xml:space="preserve"> </w:t>
      </w:r>
      <w:proofErr w:type="spellStart"/>
      <w:r w:rsidR="00A46A70">
        <w:rPr>
          <w:i/>
          <w:iCs/>
        </w:rPr>
        <w:t>G</w:t>
      </w:r>
      <w:r w:rsidR="00B17770" w:rsidRPr="00A46A70">
        <w:rPr>
          <w:i/>
          <w:iCs/>
        </w:rPr>
        <w:t>overnance</w:t>
      </w:r>
      <w:proofErr w:type="spellEnd"/>
      <w:r w:rsidR="00B17770">
        <w:t>)</w:t>
      </w:r>
      <w:r w:rsidR="00296CD4">
        <w:t>, cujos critérios buscam medir a sustentabilidade das operações econ</w:t>
      </w:r>
      <w:r w:rsidR="00C47BE2">
        <w:t>ômica</w:t>
      </w:r>
      <w:r w:rsidR="005A48B6">
        <w:t>s, levando em consideração</w:t>
      </w:r>
      <w:r w:rsidR="00C47BE2">
        <w:t xml:space="preserve"> critérios ambientais, sociais e de governança corporativa</w:t>
      </w:r>
      <w:r w:rsidR="00296CD4">
        <w:t xml:space="preserve"> </w:t>
      </w:r>
      <w:r w:rsidR="00796FB0">
        <w:t>para fins de concessão de crédito e</w:t>
      </w:r>
      <w:r w:rsidR="005A48B6">
        <w:t xml:space="preserve"> realização</w:t>
      </w:r>
      <w:r w:rsidR="00796FB0">
        <w:t xml:space="preserve"> de investimentos.</w:t>
      </w:r>
    </w:p>
    <w:p w14:paraId="335C4227" w14:textId="77777777" w:rsidR="00252581" w:rsidRDefault="00252581" w:rsidP="00992FDF">
      <w:pPr>
        <w:jc w:val="both"/>
      </w:pPr>
    </w:p>
    <w:p w14:paraId="62C738EB" w14:textId="18B07005" w:rsidR="00252581" w:rsidRPr="00DA0CEC" w:rsidRDefault="00635A63" w:rsidP="00DA0CEC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4. </w:t>
      </w:r>
      <w:r w:rsidR="00FC7080" w:rsidRPr="00252581">
        <w:rPr>
          <w:b/>
          <w:bCs/>
        </w:rPr>
        <w:t>A Lei do Agro e o financiamento da produção rural</w:t>
      </w:r>
    </w:p>
    <w:p w14:paraId="5B26FBE2" w14:textId="77777777" w:rsidR="00252581" w:rsidRDefault="00252581" w:rsidP="00252581">
      <w:pPr>
        <w:spacing w:line="360" w:lineRule="auto"/>
        <w:ind w:firstLine="708"/>
        <w:jc w:val="both"/>
      </w:pPr>
    </w:p>
    <w:p w14:paraId="2E1B1F7C" w14:textId="77777777" w:rsidR="000D3EE9" w:rsidRDefault="00183598" w:rsidP="00252581">
      <w:pPr>
        <w:spacing w:line="360" w:lineRule="auto"/>
        <w:ind w:firstLine="708"/>
        <w:jc w:val="both"/>
      </w:pPr>
      <w:r w:rsidRPr="00252581">
        <w:t xml:space="preserve">O Presidente Jair Bolsonaro sancionou, com vetos, a chamada MP do Agro (Medida Provisória nº 897/2019), que passou a ser a Lei nº 13.986, de 7 de abril de 2020, a qual foi pensada para modernizar o sistema financiamento privado do agronegócio e garantias prestadas para as operações de financiamento, buscando garantir mais acesso a recursos, ampliando o rol de opções no mercado e almejando como efeitos a redução das taxas de juros e encargos. </w:t>
      </w:r>
    </w:p>
    <w:p w14:paraId="15564124" w14:textId="2AF75E18" w:rsidR="000900EE" w:rsidRDefault="00183598" w:rsidP="000900EE">
      <w:pPr>
        <w:spacing w:line="360" w:lineRule="auto"/>
        <w:ind w:firstLine="708"/>
        <w:jc w:val="both"/>
      </w:pPr>
      <w:r w:rsidRPr="00252581">
        <w:lastRenderedPageBreak/>
        <w:t>A Lei nº 13.986/2020</w:t>
      </w:r>
      <w:r w:rsidR="000D3EE9">
        <w:t xml:space="preserve"> foi a mais importante lei referente ao agronegócio brasileiro em 2020, </w:t>
      </w:r>
      <w:r w:rsidRPr="00252581">
        <w:t>consolida</w:t>
      </w:r>
      <w:r w:rsidR="000D3EE9">
        <w:t xml:space="preserve">ndo </w:t>
      </w:r>
      <w:r w:rsidR="007344CC">
        <w:t>importantes</w:t>
      </w:r>
      <w:r w:rsidRPr="00252581">
        <w:t xml:space="preserve"> inovações jurídicas, tais como os institutos do Fundo Garantidor Solidário </w:t>
      </w:r>
      <w:proofErr w:type="gramStart"/>
      <w:r w:rsidRPr="00252581">
        <w:t>–  FGS</w:t>
      </w:r>
      <w:proofErr w:type="gramEnd"/>
      <w:r w:rsidRPr="00252581">
        <w:t xml:space="preserve"> (que originalmente era denominad</w:t>
      </w:r>
      <w:r w:rsidR="007B7E8A">
        <w:t>o</w:t>
      </w:r>
      <w:r w:rsidRPr="00252581">
        <w:t xml:space="preserve"> de Fundo do Aval Fraterno – FAF pelo texto original da MP do Agro), Patrimônio Rural em Afetação e a Cédula Imobiliária Rural – CIR. </w:t>
      </w:r>
    </w:p>
    <w:p w14:paraId="00A792B0" w14:textId="10711255" w:rsidR="000900EE" w:rsidRDefault="00183598" w:rsidP="008260BC">
      <w:pPr>
        <w:spacing w:line="360" w:lineRule="auto"/>
        <w:ind w:firstLine="708"/>
        <w:jc w:val="both"/>
      </w:pPr>
      <w:r w:rsidRPr="00252581">
        <w:t>Além disso, dentre as novidades, a Lei nº 13.986/2020 traz significativas alterações para a Cédula de Produto Rural – CPR e aos Títulos do Agronegócio, que poderão ser pactuados em moeda estrangeria.</w:t>
      </w:r>
      <w:r w:rsidR="003B4723">
        <w:t xml:space="preserve"> No</w:t>
      </w:r>
      <w:r w:rsidR="005A48B6">
        <w:t xml:space="preserve"> final do ano</w:t>
      </w:r>
      <w:r w:rsidR="005B7F64">
        <w:t>,</w:t>
      </w:r>
      <w:r w:rsidR="003B4723">
        <w:t xml:space="preserve"> o Banco Central editou </w:t>
      </w:r>
      <w:r w:rsidR="007344CC">
        <w:t xml:space="preserve">resoluções regulamentando disposições referentes às </w:t>
      </w:r>
      <w:r w:rsidR="007344CC" w:rsidRPr="00252581">
        <w:t>Cédula</w:t>
      </w:r>
      <w:r w:rsidR="007344CC">
        <w:t>s</w:t>
      </w:r>
      <w:r w:rsidR="007344CC" w:rsidRPr="00252581">
        <w:t xml:space="preserve"> de Produto Rural</w:t>
      </w:r>
      <w:r w:rsidR="007344CC">
        <w:t>.</w:t>
      </w:r>
      <w:r w:rsidR="007760B1">
        <w:t xml:space="preserve"> </w:t>
      </w:r>
      <w:r w:rsidR="008260BC">
        <w:t>A primeira foi a</w:t>
      </w:r>
      <w:r w:rsidR="008260BC" w:rsidRPr="008260BC">
        <w:t> Resolução CMN n° 4.870</w:t>
      </w:r>
      <w:r w:rsidR="008260BC">
        <w:t>,</w:t>
      </w:r>
      <w:r w:rsidR="008260BC" w:rsidRPr="008260BC">
        <w:t xml:space="preserve"> de 27</w:t>
      </w:r>
      <w:r w:rsidR="008260BC">
        <w:t xml:space="preserve"> de novembro de </w:t>
      </w:r>
      <w:r w:rsidR="008260BC" w:rsidRPr="008260BC">
        <w:t>2020, a qual dispõe sobre o registro e o depósito da Cédula de Produto Rural</w:t>
      </w:r>
      <w:r w:rsidR="008260BC">
        <w:rPr>
          <w:rStyle w:val="Refdenotaderodap"/>
        </w:rPr>
        <w:footnoteReference w:id="15"/>
      </w:r>
      <w:r w:rsidR="008260BC" w:rsidRPr="008260BC">
        <w:t>.</w:t>
      </w:r>
      <w:r w:rsidR="008260BC">
        <w:t xml:space="preserve"> </w:t>
      </w:r>
      <w:r w:rsidR="007760B1">
        <w:t>A</w:t>
      </w:r>
      <w:r w:rsidR="008260BC">
        <w:t>pós, foi publicada a</w:t>
      </w:r>
      <w:r w:rsidR="007760B1">
        <w:t xml:space="preserve"> </w:t>
      </w:r>
      <w:r w:rsidR="000900EE" w:rsidRPr="003B4723">
        <w:t>Resolução BCB n° 52, de 16 de dezembro de 2020, dispõe sobre a</w:t>
      </w:r>
      <w:r w:rsidR="007760B1">
        <w:t>s</w:t>
      </w:r>
      <w:r w:rsidR="000900EE" w:rsidRPr="003B4723">
        <w:t xml:space="preserve"> informações relativas a Cédulas de Produto Rural registradas ou depositadas em sistema de registro ou de depósito centralizado operado por entidade registradora ou depositária central autorizada pelo Banco Central do Brasil</w:t>
      </w:r>
      <w:r w:rsidR="007760B1">
        <w:rPr>
          <w:rStyle w:val="Refdenotaderodap"/>
        </w:rPr>
        <w:footnoteReference w:id="16"/>
      </w:r>
      <w:r w:rsidR="000900EE" w:rsidRPr="003B4723">
        <w:t>.</w:t>
      </w:r>
    </w:p>
    <w:p w14:paraId="6AF85378" w14:textId="0BA10E9F" w:rsidR="00183598" w:rsidRDefault="007C2C1A" w:rsidP="007B7E8A">
      <w:pPr>
        <w:spacing w:line="360" w:lineRule="auto"/>
        <w:ind w:firstLine="708"/>
        <w:jc w:val="both"/>
      </w:pPr>
      <w:r>
        <w:t xml:space="preserve">Com relação o Sistema Nacional de Crédito Rural – SNRC, merece </w:t>
      </w:r>
      <w:r w:rsidR="008D5BA5">
        <w:t xml:space="preserve">menção a publicação das </w:t>
      </w:r>
      <w:r w:rsidR="00183598" w:rsidRPr="008D5BA5">
        <w:t xml:space="preserve">Resoluções BACEN </w:t>
      </w:r>
      <w:r w:rsidR="000D657F">
        <w:t xml:space="preserve">nº </w:t>
      </w:r>
      <w:r w:rsidR="00183598" w:rsidRPr="008D5BA5">
        <w:t>4.801, 4.802 e 4.803 publicadas em 9 de abril de 2020 que tratam do crédito rural e pagamento e renegociação de dívidas agrícolas, em face da covid-19 e da estiagem</w:t>
      </w:r>
      <w:r w:rsidR="007B7E8A">
        <w:rPr>
          <w:rStyle w:val="Refdenotaderodap"/>
        </w:rPr>
        <w:footnoteReference w:id="17"/>
      </w:r>
      <w:r w:rsidR="00183598" w:rsidRPr="008D5BA5">
        <w:t xml:space="preserve">. </w:t>
      </w:r>
    </w:p>
    <w:p w14:paraId="4306FEE6" w14:textId="7E6D8F4C" w:rsidR="00FC7080" w:rsidRPr="00992FDF" w:rsidRDefault="00FC7080" w:rsidP="00992FDF">
      <w:pPr>
        <w:jc w:val="both"/>
      </w:pPr>
    </w:p>
    <w:p w14:paraId="21348210" w14:textId="1E256661" w:rsidR="007B7E8A" w:rsidRDefault="00635A63" w:rsidP="00DA0CEC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5. </w:t>
      </w:r>
      <w:r w:rsidR="00FC7080" w:rsidRPr="00D13E93">
        <w:rPr>
          <w:b/>
          <w:bCs/>
        </w:rPr>
        <w:t>Recuperação judicial do produtor rural pessoa física</w:t>
      </w:r>
    </w:p>
    <w:p w14:paraId="60466E11" w14:textId="3B41DB9A" w:rsidR="00D13E93" w:rsidRPr="00DA0CEC" w:rsidRDefault="007B7E8A" w:rsidP="00DA0CEC">
      <w:pPr>
        <w:spacing w:line="360" w:lineRule="auto"/>
        <w:ind w:firstLine="708"/>
        <w:jc w:val="both"/>
      </w:pPr>
      <w:r w:rsidRPr="00DA0CEC">
        <w:tab/>
      </w:r>
    </w:p>
    <w:p w14:paraId="66D461DD" w14:textId="2EB3BF0E" w:rsidR="00EB2C66" w:rsidRDefault="00152ED1" w:rsidP="00DA0CEC">
      <w:pPr>
        <w:spacing w:line="360" w:lineRule="auto"/>
        <w:ind w:firstLine="708"/>
        <w:jc w:val="both"/>
      </w:pPr>
      <w:r>
        <w:t xml:space="preserve">Na retrospectiva jurídica do agronegócio brasileiro em 2020 </w:t>
      </w:r>
      <w:r w:rsidR="00CE10BC">
        <w:t>o tema da recuperação judicial do produtor rural pessoa física merece um capítulo a parte.</w:t>
      </w:r>
      <w:r w:rsidR="008414A7">
        <w:t xml:space="preserve"> Isso porque o tema foi objeto de análise de </w:t>
      </w:r>
      <w:r w:rsidR="007F4361">
        <w:t>dois importantes julgados do Superior Tribunal de Justiça</w:t>
      </w:r>
      <w:r w:rsidR="00F64653">
        <w:t>, que consolidaram a jurisprudência acerca do tema</w:t>
      </w:r>
      <w:r w:rsidR="007F4361">
        <w:t xml:space="preserve">. O primeiro julgado foi o Recurso Especial </w:t>
      </w:r>
      <w:proofErr w:type="gramStart"/>
      <w:r w:rsidR="007F4361">
        <w:t xml:space="preserve">nº </w:t>
      </w:r>
      <w:r w:rsidR="00D61638">
        <w:t xml:space="preserve"> 1.</w:t>
      </w:r>
      <w:r w:rsidR="00261E38">
        <w:t>800.032</w:t>
      </w:r>
      <w:proofErr w:type="gramEnd"/>
      <w:r w:rsidR="00261E38">
        <w:t>/MT</w:t>
      </w:r>
      <w:r w:rsidR="00D61638">
        <w:t xml:space="preserve"> </w:t>
      </w:r>
      <w:r w:rsidR="007F4361">
        <w:t xml:space="preserve">, apreciado pela </w:t>
      </w:r>
      <w:r w:rsidR="00EB2C66">
        <w:t>4ª Turma</w:t>
      </w:r>
      <w:r w:rsidR="00641A6A">
        <w:t xml:space="preserve"> do STJ, </w:t>
      </w:r>
      <w:r w:rsidR="00261E38">
        <w:t xml:space="preserve">entendendo pela possibilidade da recuperação </w:t>
      </w:r>
      <w:r w:rsidR="0039087C">
        <w:t xml:space="preserve">judicial do produtor rural pessoa física, adotando a tese de </w:t>
      </w:r>
      <w:r w:rsidR="005B20E5">
        <w:t xml:space="preserve">que o produtor rural pode formalizar o pedido de recuperação judicial </w:t>
      </w:r>
      <w:r w:rsidR="00E522AB">
        <w:t xml:space="preserve">sem o cumprimento </w:t>
      </w:r>
      <w:r w:rsidR="00E522AB">
        <w:lastRenderedPageBreak/>
        <w:t>do prazo de 2 anos prévios de inscrição na Junta Comercial, desde que comprove o exercício da atividade rural.</w:t>
      </w:r>
      <w:r w:rsidR="00641A6A">
        <w:t xml:space="preserve"> </w:t>
      </w:r>
    </w:p>
    <w:p w14:paraId="24B437D6" w14:textId="77777777" w:rsidR="00A519CB" w:rsidRDefault="00E522AB" w:rsidP="00A519CB">
      <w:pPr>
        <w:spacing w:line="360" w:lineRule="auto"/>
        <w:ind w:firstLine="708"/>
        <w:jc w:val="both"/>
      </w:pPr>
      <w:r>
        <w:t xml:space="preserve">Posteriormente, a </w:t>
      </w:r>
      <w:r w:rsidR="007F4361">
        <w:t>3ª Turma</w:t>
      </w:r>
      <w:r>
        <w:t xml:space="preserve"> do STJ</w:t>
      </w:r>
      <w:r w:rsidR="007F4361">
        <w:t xml:space="preserve">, </w:t>
      </w:r>
      <w:r w:rsidR="004E6E79">
        <w:t xml:space="preserve">ao julgar o Recurso Especial </w:t>
      </w:r>
      <w:r w:rsidR="00355D1B">
        <w:t>nº 1.811.953</w:t>
      </w:r>
      <w:r w:rsidR="00D46070">
        <w:t>/MT</w:t>
      </w:r>
      <w:r w:rsidR="00AB6C25">
        <w:t xml:space="preserve">, </w:t>
      </w:r>
      <w:r w:rsidR="00D46070">
        <w:t>“</w:t>
      </w:r>
      <w:r w:rsidR="00D46070" w:rsidRPr="00AB6C25">
        <w:rPr>
          <w:i/>
          <w:iCs/>
        </w:rPr>
        <w:t xml:space="preserve">firmou o entendimento de que o empresário rural, embora precise estar registrado na Junta Comercial para requerer a recuperação judicial, pode computar o período anterior à formalização do registro para cumprir o prazo mínimo de dois anos exigido pelo artigo 48 da Lei </w:t>
      </w:r>
      <w:r w:rsidR="00AB6C25" w:rsidRPr="00AB6C25">
        <w:rPr>
          <w:i/>
          <w:iCs/>
        </w:rPr>
        <w:t xml:space="preserve">nº </w:t>
      </w:r>
      <w:r w:rsidR="00D46070" w:rsidRPr="00AB6C25">
        <w:rPr>
          <w:i/>
          <w:iCs/>
        </w:rPr>
        <w:t>11.101/2005</w:t>
      </w:r>
      <w:r w:rsidR="00AB6C25">
        <w:t>”</w:t>
      </w:r>
      <w:r w:rsidR="00AB6C25">
        <w:rPr>
          <w:rStyle w:val="Refdenotaderodap"/>
        </w:rPr>
        <w:footnoteReference w:id="18"/>
      </w:r>
      <w:r w:rsidR="00AB6C25">
        <w:t>.</w:t>
      </w:r>
    </w:p>
    <w:p w14:paraId="2F682157" w14:textId="5CD9048B" w:rsidR="00A519CB" w:rsidRDefault="00C1273D" w:rsidP="00A519CB">
      <w:pPr>
        <w:spacing w:line="360" w:lineRule="auto"/>
        <w:ind w:firstLine="708"/>
        <w:jc w:val="both"/>
      </w:pPr>
      <w:r>
        <w:t xml:space="preserve">O </w:t>
      </w:r>
      <w:r w:rsidR="00A7076B">
        <w:t>entendimento firmado pelo STJ acabou dividindo as opini</w:t>
      </w:r>
      <w:r w:rsidR="00277A31">
        <w:t xml:space="preserve">ões </w:t>
      </w:r>
      <w:r w:rsidR="00F312C1">
        <w:t>de juristas e profissionais do mercado</w:t>
      </w:r>
      <w:r w:rsidR="00277A31">
        <w:t>, tendo como efeito imediato sobre o</w:t>
      </w:r>
      <w:r w:rsidR="00554EAB">
        <w:t>s riscos das operações de crédito</w:t>
      </w:r>
      <w:r w:rsidR="00F312C1">
        <w:rPr>
          <w:rStyle w:val="Refdenotaderodap"/>
        </w:rPr>
        <w:footnoteReference w:id="19"/>
      </w:r>
      <w:r w:rsidR="008F140F">
        <w:t xml:space="preserve">, o que fez com que se acelerasse no Congresso os debates </w:t>
      </w:r>
      <w:r w:rsidR="000574B5">
        <w:t>legislativos que resultaram na publicação</w:t>
      </w:r>
      <w:r w:rsidR="00D03623">
        <w:t>, com vetos,</w:t>
      </w:r>
      <w:r w:rsidR="000574B5">
        <w:t xml:space="preserve"> da</w:t>
      </w:r>
      <w:r w:rsidR="00A519CB" w:rsidRPr="00A519CB">
        <w:t xml:space="preserve"> Lei nº 14.112, de 24 de dezembro de 2020, que  altera as Leis </w:t>
      </w:r>
      <w:proofErr w:type="spellStart"/>
      <w:r w:rsidR="00A519CB" w:rsidRPr="00A519CB">
        <w:t>n</w:t>
      </w:r>
      <w:r w:rsidR="003B55BF">
        <w:t>ºs</w:t>
      </w:r>
      <w:proofErr w:type="spellEnd"/>
      <w:r w:rsidR="00A519CB" w:rsidRPr="00A519CB">
        <w:t xml:space="preserve"> 11.101, de 9 de fevereiro de 2005, 10.522, de 19 de julho de 2002, e 8.929, de 22 de agosto de 1994, para atualizar a legislação referente à recuperação judicial, à recuperação extrajudicial e à falência do empresário e da sociedade empresária</w:t>
      </w:r>
      <w:r w:rsidR="00D03623">
        <w:rPr>
          <w:rStyle w:val="Refdenotaderodap"/>
        </w:rPr>
        <w:footnoteReference w:id="20"/>
      </w:r>
      <w:r w:rsidR="00A519CB" w:rsidRPr="00A519CB">
        <w:t>.</w:t>
      </w:r>
      <w:r w:rsidR="003B55BF">
        <w:t xml:space="preserve"> </w:t>
      </w:r>
    </w:p>
    <w:p w14:paraId="1D9C656B" w14:textId="77E6F6D0" w:rsidR="00F87161" w:rsidRDefault="00EE279B" w:rsidP="00F87161">
      <w:pPr>
        <w:spacing w:line="360" w:lineRule="auto"/>
        <w:ind w:firstLine="708"/>
        <w:jc w:val="both"/>
      </w:pPr>
      <w:r>
        <w:t xml:space="preserve">Na esteira do entendimento consolidado pelo STJ, a </w:t>
      </w:r>
      <w:r w:rsidR="00A90CBA">
        <w:t>Lei nº 14.112/2020, prevê que para atendimento da comprovação do prazo de 2 anos para requerer a recuperação</w:t>
      </w:r>
      <w:r>
        <w:t xml:space="preserve"> judicial</w:t>
      </w:r>
      <w:r w:rsidR="00A90CBA">
        <w:t xml:space="preserve"> que trata o </w:t>
      </w:r>
      <w:r w:rsidR="00A90CBA" w:rsidRPr="00EE279B">
        <w:rPr>
          <w:i/>
          <w:iCs/>
        </w:rPr>
        <w:t>caput</w:t>
      </w:r>
      <w:r w:rsidR="00A90CBA">
        <w:t xml:space="preserve"> do art. 48 da Lei nº 11.</w:t>
      </w:r>
      <w:r>
        <w:t>101/2005</w:t>
      </w:r>
      <w:r w:rsidR="00CA7D78">
        <w:t xml:space="preserve"> “</w:t>
      </w:r>
      <w:r w:rsidR="00CA7D78" w:rsidRPr="00CA7D78">
        <w:rPr>
          <w:i/>
          <w:iCs/>
        </w:rPr>
        <w:t>o cálculo do período de exercício de atividade rural por pessoa física é feito com base no</w:t>
      </w:r>
      <w:r w:rsidR="00CA7D78">
        <w:t xml:space="preserve"> </w:t>
      </w:r>
      <w:r w:rsidRPr="00CA7D78">
        <w:rPr>
          <w:i/>
          <w:iCs/>
        </w:rPr>
        <w:t>Livro Caixa Digital do Produtor Rural (LCDPR), ou por meio de obrigação legal de registros contábeis que venha a substituir o LCDPR, e pela Declaração do Imposto sobre a Renda da Pessoa Física (DIRPF) e balanço patrimonial, todos entregues tempestivamente</w:t>
      </w:r>
      <w:r w:rsidR="00CA7D78">
        <w:rPr>
          <w:i/>
          <w:iCs/>
        </w:rPr>
        <w:t>”</w:t>
      </w:r>
      <w:r w:rsidRPr="00CA7D78">
        <w:rPr>
          <w:i/>
          <w:iCs/>
        </w:rPr>
        <w:t>.</w:t>
      </w:r>
      <w:r w:rsidR="00CA7D78">
        <w:rPr>
          <w:i/>
          <w:iCs/>
        </w:rPr>
        <w:t xml:space="preserve"> </w:t>
      </w:r>
      <w:r w:rsidR="00CA7D78" w:rsidRPr="00CA7D78">
        <w:t xml:space="preserve">Em que </w:t>
      </w:r>
      <w:r w:rsidR="00CA7D78">
        <w:t xml:space="preserve">pese a atualização legislativa </w:t>
      </w:r>
      <w:r w:rsidR="005A48B6">
        <w:t>regulando</w:t>
      </w:r>
      <w:r w:rsidR="00C336DF">
        <w:t xml:space="preserve"> a recuperação judicial dos produtores rurais pessoa física, ainda resta como ponto polêmico o veto ao</w:t>
      </w:r>
      <w:r w:rsidR="00B53348" w:rsidRPr="00D97E5E">
        <w:t xml:space="preserve"> art. 4º da Lei </w:t>
      </w:r>
      <w:r w:rsidR="00D97E5E" w:rsidRPr="00D97E5E">
        <w:t>nº 14.112/2020</w:t>
      </w:r>
      <w:r w:rsidR="00B53348" w:rsidRPr="00D97E5E">
        <w:t>, que afeta diretamente a Cédula de Produto Rural – CPR</w:t>
      </w:r>
      <w:r w:rsidR="003A500E">
        <w:t xml:space="preserve">. Desta forma, caso não seja derrubado o veto pelo Congresso, </w:t>
      </w:r>
      <w:r w:rsidR="00F87161" w:rsidRPr="00F87161">
        <w:t xml:space="preserve">segue a </w:t>
      </w:r>
      <w:r w:rsidR="00F87161">
        <w:t xml:space="preserve">atual </w:t>
      </w:r>
      <w:r w:rsidR="00F87161" w:rsidRPr="00F87161">
        <w:t xml:space="preserve">“análise discricionária” do Juízo de Falências sobre a </w:t>
      </w:r>
      <w:r w:rsidR="00F87161" w:rsidRPr="00F87161">
        <w:lastRenderedPageBreak/>
        <w:t xml:space="preserve">Cédula de Produto Rural – CPR se sujeitar ou não aos efeitos da recuperação judicial os créditos e </w:t>
      </w:r>
      <w:r w:rsidR="00F87161">
        <w:t>d</w:t>
      </w:r>
      <w:r w:rsidR="00F87161" w:rsidRPr="00F87161">
        <w:t xml:space="preserve">as garantias </w:t>
      </w:r>
      <w:proofErr w:type="spellStart"/>
      <w:r w:rsidR="00F87161" w:rsidRPr="00F87161">
        <w:t>cedulares</w:t>
      </w:r>
      <w:proofErr w:type="spellEnd"/>
      <w:r w:rsidR="00F87161" w:rsidRPr="00F87161">
        <w:t xml:space="preserve"> vinculad</w:t>
      </w:r>
      <w:r w:rsidR="00F87161">
        <w:t>a</w:t>
      </w:r>
      <w:r w:rsidR="00F87161" w:rsidRPr="00F87161">
        <w:t>s.</w:t>
      </w:r>
    </w:p>
    <w:p w14:paraId="503ADFA7" w14:textId="77777777" w:rsidR="00F87161" w:rsidRDefault="00F87161" w:rsidP="00D97E5E">
      <w:pPr>
        <w:spacing w:line="360" w:lineRule="auto"/>
        <w:ind w:firstLine="708"/>
        <w:jc w:val="both"/>
      </w:pPr>
    </w:p>
    <w:p w14:paraId="5E83FA1F" w14:textId="1D334391" w:rsidR="00943D22" w:rsidRPr="00381F65" w:rsidRDefault="00635A63" w:rsidP="00943D22">
      <w:pPr>
        <w:spacing w:line="360" w:lineRule="auto"/>
        <w:ind w:firstLine="708"/>
        <w:jc w:val="both"/>
        <w:rPr>
          <w:b/>
          <w:bCs/>
        </w:rPr>
      </w:pPr>
      <w:r>
        <w:rPr>
          <w:b/>
          <w:bCs/>
        </w:rPr>
        <w:t xml:space="preserve">6. </w:t>
      </w:r>
      <w:r w:rsidR="00943D22" w:rsidRPr="00381F65">
        <w:rPr>
          <w:b/>
          <w:bCs/>
        </w:rPr>
        <w:t>Outras quest</w:t>
      </w:r>
      <w:r w:rsidR="00381F65" w:rsidRPr="00381F65">
        <w:rPr>
          <w:b/>
          <w:bCs/>
        </w:rPr>
        <w:t>ões jurídicas de 2020</w:t>
      </w:r>
      <w:r w:rsidR="00943D22" w:rsidRPr="00381F65">
        <w:rPr>
          <w:b/>
          <w:bCs/>
        </w:rPr>
        <w:t xml:space="preserve"> que merecem atenção</w:t>
      </w:r>
    </w:p>
    <w:p w14:paraId="312BBE45" w14:textId="77777777" w:rsidR="00B53348" w:rsidRPr="00CA7D78" w:rsidRDefault="00B53348" w:rsidP="00CA7D78">
      <w:pPr>
        <w:spacing w:line="360" w:lineRule="auto"/>
        <w:ind w:firstLine="708"/>
        <w:jc w:val="both"/>
      </w:pPr>
    </w:p>
    <w:p w14:paraId="364340AC" w14:textId="66EDE9BC" w:rsidR="007B6285" w:rsidRDefault="00417073" w:rsidP="007B6285">
      <w:pPr>
        <w:spacing w:line="360" w:lineRule="auto"/>
        <w:ind w:firstLine="708"/>
        <w:jc w:val="both"/>
      </w:pPr>
      <w:r>
        <w:t xml:space="preserve">Com a ideia de desburocratização, simplificação e segurança jurídica para </w:t>
      </w:r>
      <w:r w:rsidR="0076199F">
        <w:t>as relações trabalhistas do agronegócio, f</w:t>
      </w:r>
      <w:r w:rsidR="00086AE4">
        <w:t xml:space="preserve">oi aprovada a Portaria nº 22.677, de </w:t>
      </w:r>
      <w:r w:rsidR="00971590">
        <w:t xml:space="preserve">22 de outubro de 2020, do Ministério da Economia/Secretaria Especial de Previdência e Trabalho, que aprovou nova redação da </w:t>
      </w:r>
      <w:r w:rsidR="007B6285" w:rsidRPr="007B6285">
        <w:t>Norma Regulamentadora nº 31 - Segurança e Saúde no Trabalho na Agricultura, Pecuária, Silvicultura, Exploração Florestal e Aquicultura</w:t>
      </w:r>
      <w:r w:rsidR="00BE6191">
        <w:t>, que é a principal norma relativa a segurança e saúde de trabalhadores rurais empregados</w:t>
      </w:r>
      <w:r w:rsidR="00E83C22">
        <w:rPr>
          <w:rStyle w:val="Refdenotaderodap"/>
        </w:rPr>
        <w:footnoteReference w:id="21"/>
      </w:r>
      <w:r w:rsidR="00BE6191">
        <w:t xml:space="preserve">. </w:t>
      </w:r>
    </w:p>
    <w:p w14:paraId="6E800053" w14:textId="6E9BEED8" w:rsidR="00575EE6" w:rsidRPr="00DA0CEC" w:rsidRDefault="00575EE6" w:rsidP="00575EE6">
      <w:pPr>
        <w:spacing w:line="360" w:lineRule="auto"/>
        <w:ind w:firstLine="708"/>
        <w:jc w:val="both"/>
      </w:pPr>
      <w:r>
        <w:t xml:space="preserve">Dadas as dificuldades na aprovação de uma nova lei de regularização fundiária, o Governo Federal publicou a </w:t>
      </w:r>
      <w:r w:rsidRPr="00DA0CEC">
        <w:t>Portaria Conjunta nº 1, de 2 de dezembro de 2020, do Ministério da Agricultura, Pecuária e Abastecimento – MAPA e do Instituto Nacional de Colonização e Reforma Agrária – INCRA, a qual institui o Programa Titula Brasil e dispõe sobre seus objetivos e forma de implementação.</w:t>
      </w:r>
      <w:r>
        <w:t xml:space="preserve"> </w:t>
      </w:r>
      <w:r w:rsidRPr="00DA0CEC">
        <w:t xml:space="preserve">O Programa Titula Brasil foi </w:t>
      </w:r>
      <w:r w:rsidR="00F83359" w:rsidRPr="00DA0CEC">
        <w:t>instituído</w:t>
      </w:r>
      <w:r w:rsidRPr="00DA0CEC">
        <w:t xml:space="preserve"> com o objetivo de aumentar a capacidade operacional dos procedimentos de titulação e regularização fundiária das áreas rurais sob domínio da União ou do Instituto Nacional de Colonização e Reforma Agrária, devendo ser executado diretamente pelo Núcleo Municipal de Regularização Fundiária – NMRF.</w:t>
      </w:r>
      <w:r>
        <w:t xml:space="preserve"> </w:t>
      </w:r>
      <w:r w:rsidRPr="00DA0CEC">
        <w:t>O Programa Titula Brasil prevê a possibilidade de participação voluntária pelos municípios, por meio de parcerias com o INCRA</w:t>
      </w:r>
      <w:r w:rsidR="00D21FE1">
        <w:rPr>
          <w:rStyle w:val="Refdenotaderodap"/>
        </w:rPr>
        <w:footnoteReference w:id="22"/>
      </w:r>
      <w:r w:rsidRPr="00DA0CEC">
        <w:t>.</w:t>
      </w:r>
    </w:p>
    <w:p w14:paraId="45E50425" w14:textId="1AA79B41" w:rsidR="00633C04" w:rsidRDefault="000614E5" w:rsidP="00633C04">
      <w:pPr>
        <w:spacing w:line="360" w:lineRule="auto"/>
        <w:ind w:firstLine="708"/>
        <w:jc w:val="both"/>
      </w:pPr>
      <w:r>
        <w:t xml:space="preserve">No campo das novidades legislativas, </w:t>
      </w:r>
      <w:r w:rsidR="00633C04">
        <w:t xml:space="preserve">foi publicado o </w:t>
      </w:r>
      <w:r w:rsidR="00633C04" w:rsidRPr="00DA0CEC">
        <w:t>Decreto nº 10.576, de 14 de dezembro de 2020, o qual dispõe sobre a cessão de uso de espaços físicos em corpos d’água de domínio da União para a prática da aquicultura. O Decreto nº 10.576/2020 busca desburocratizar a cessão do uso dos espaços físicos em corpos d’água de domínio da União para a prática da aquicultura, com a finalidade de geração de emprego e renda, desenvolvimento sustentável, o aumento da produção de pescados, inclusão social e segurança alimentar</w:t>
      </w:r>
      <w:r w:rsidR="00633C04">
        <w:rPr>
          <w:rStyle w:val="Refdenotaderodap"/>
        </w:rPr>
        <w:footnoteReference w:id="23"/>
      </w:r>
      <w:r w:rsidR="00633C04" w:rsidRPr="00DA0CEC">
        <w:t>.</w:t>
      </w:r>
    </w:p>
    <w:p w14:paraId="1B6EC113" w14:textId="77777777" w:rsidR="006464E7" w:rsidRDefault="00D57727" w:rsidP="006464E7">
      <w:pPr>
        <w:spacing w:line="360" w:lineRule="auto"/>
        <w:ind w:firstLine="708"/>
        <w:jc w:val="both"/>
      </w:pPr>
      <w:r>
        <w:lastRenderedPageBreak/>
        <w:t xml:space="preserve">Também merece menção a publicação do </w:t>
      </w:r>
      <w:r w:rsidRPr="00DA0CEC">
        <w:t xml:space="preserve">Decreto nº 10.586, de 18 de dezembro de 2020, o qual regulamenta Lei nº 10.711, de 5 de agosto de 2003, que dispõe sobre o Sistema Nacional de Sementes e Mudas, dispondo regras sobre os registros do Registro Nacional de Sementes e Mudas – </w:t>
      </w:r>
      <w:proofErr w:type="spellStart"/>
      <w:r w:rsidRPr="00DA0CEC">
        <w:t>Renasem</w:t>
      </w:r>
      <w:proofErr w:type="spellEnd"/>
      <w:r w:rsidRPr="00DA0CEC">
        <w:t>, Registro Nacional de Cultivares – RNC, disposições sobre produção e certificação de sementes e mudas; e disciplina proibições, infrações, medidas cautelares, penalidades e demais regras referentes ao processo administrativo fiscalizatório e sancionatório das atividades relacionadas à matéria, que devem ser observadas inclusive p</w:t>
      </w:r>
      <w:r>
        <w:t xml:space="preserve">elos </w:t>
      </w:r>
      <w:r w:rsidRPr="00DA0CEC">
        <w:t>produtores rurais</w:t>
      </w:r>
      <w:r>
        <w:rPr>
          <w:rStyle w:val="Refdenotaderodap"/>
        </w:rPr>
        <w:footnoteReference w:id="24"/>
      </w:r>
      <w:r w:rsidRPr="00DA0CEC">
        <w:t>.</w:t>
      </w:r>
    </w:p>
    <w:p w14:paraId="6C540EAB" w14:textId="662CC28B" w:rsidR="00210B05" w:rsidRPr="00210B05" w:rsidRDefault="0014323D" w:rsidP="00210B05">
      <w:pPr>
        <w:spacing w:line="360" w:lineRule="auto"/>
        <w:ind w:firstLine="708"/>
        <w:jc w:val="both"/>
      </w:pPr>
      <w:r>
        <w:t xml:space="preserve">Ainda, chamou a atenção a </w:t>
      </w:r>
      <w:r w:rsidR="006464E7">
        <w:t xml:space="preserve">publicação da </w:t>
      </w:r>
      <w:r w:rsidR="006464E7" w:rsidRPr="00210B05">
        <w:t xml:space="preserve">Resolução nº 9, de 12 de agosto de 2020, do Departamento Nacional de Infraestrutura de Transporte – DNIT, que dentre suas disposições </w:t>
      </w:r>
      <w:r w:rsidR="00210B05" w:rsidRPr="00210B05">
        <w:t>trouxe regras referentes a possibilidade do uso agrícola da faixa de domínio de rodovias federais pelos produtores rurais</w:t>
      </w:r>
      <w:r w:rsidR="00210B05">
        <w:rPr>
          <w:rStyle w:val="Refdenotaderodap"/>
        </w:rPr>
        <w:footnoteReference w:id="25"/>
      </w:r>
      <w:r w:rsidR="00210B05" w:rsidRPr="00210B05">
        <w:t>.</w:t>
      </w:r>
    </w:p>
    <w:p w14:paraId="7C8B8CCC" w14:textId="729778D4" w:rsidR="001377D3" w:rsidRDefault="00C3797E" w:rsidP="001377D3">
      <w:pPr>
        <w:spacing w:line="360" w:lineRule="auto"/>
        <w:ind w:firstLine="708"/>
        <w:jc w:val="both"/>
      </w:pPr>
      <w:r>
        <w:t>P</w:t>
      </w:r>
      <w:r w:rsidR="003F3C22">
        <w:t xml:space="preserve">or fim, o Supremo Tribunal Federal </w:t>
      </w:r>
      <w:r w:rsidR="00D8311A" w:rsidRPr="00DA0CEC">
        <w:t>julg</w:t>
      </w:r>
      <w:r w:rsidR="00F1586A">
        <w:t>ou</w:t>
      </w:r>
      <w:r w:rsidR="00D8311A" w:rsidRPr="00DA0CEC">
        <w:t xml:space="preserve"> o Tema nº 961 da repercussão geral (“Impenhorabilidade de propriedade familiar, localizada na zona rural, que não é o único bem imóvel dessa natureza pertencente à família”)</w:t>
      </w:r>
      <w:r w:rsidR="00F1586A">
        <w:t>, fixando a tese de que</w:t>
      </w:r>
      <w:r w:rsidR="005A48B6">
        <w:t xml:space="preserve"> </w:t>
      </w:r>
      <w:r w:rsidR="001377D3" w:rsidRPr="001377D3">
        <w:rPr>
          <w:i/>
          <w:iCs/>
        </w:rPr>
        <w:t>“é impenhorável a pequena propriedade rural familiar constituída de mais de 01 (um) terreno, desde que contínuos e com área total inferior a 04 (quatro) módulos fiscais do município de localização</w:t>
      </w:r>
      <w:r w:rsidR="001377D3">
        <w:rPr>
          <w:i/>
          <w:iCs/>
        </w:rPr>
        <w:t>”</w:t>
      </w:r>
      <w:r w:rsidR="001377D3">
        <w:rPr>
          <w:rStyle w:val="Refdenotaderodap"/>
          <w:i/>
          <w:iCs/>
        </w:rPr>
        <w:footnoteReference w:id="26"/>
      </w:r>
      <w:r w:rsidR="001377D3" w:rsidRPr="001377D3">
        <w:rPr>
          <w:i/>
          <w:iCs/>
        </w:rPr>
        <w:t>.</w:t>
      </w:r>
    </w:p>
    <w:p w14:paraId="0C61CCA4" w14:textId="1EF456C5" w:rsidR="00704078" w:rsidRDefault="00704078" w:rsidP="001377D3">
      <w:pPr>
        <w:spacing w:line="360" w:lineRule="auto"/>
        <w:ind w:firstLine="708"/>
        <w:jc w:val="both"/>
      </w:pPr>
    </w:p>
    <w:p w14:paraId="2A231A47" w14:textId="645F6255" w:rsidR="00D8311A" w:rsidRPr="00C61D6E" w:rsidRDefault="00704078" w:rsidP="00704078">
      <w:pPr>
        <w:spacing w:line="360" w:lineRule="auto"/>
        <w:ind w:firstLine="708"/>
        <w:jc w:val="both"/>
        <w:rPr>
          <w:b/>
          <w:bCs/>
        </w:rPr>
      </w:pPr>
      <w:r w:rsidRPr="00704078">
        <w:rPr>
          <w:b/>
          <w:bCs/>
        </w:rPr>
        <w:t>7.</w:t>
      </w:r>
      <w:r>
        <w:rPr>
          <w:b/>
          <w:bCs/>
        </w:rPr>
        <w:t xml:space="preserve"> </w:t>
      </w:r>
      <w:r w:rsidR="00C61D6E" w:rsidRPr="00C61D6E">
        <w:rPr>
          <w:b/>
          <w:bCs/>
        </w:rPr>
        <w:t>Considerações finais e as questões jurídicas que ficaram pendentes para o ano de 2021</w:t>
      </w:r>
    </w:p>
    <w:p w14:paraId="60BF95AF" w14:textId="1EFD2857" w:rsidR="00D8311A" w:rsidRDefault="00D8311A" w:rsidP="00DA0CEC">
      <w:pPr>
        <w:spacing w:line="360" w:lineRule="auto"/>
        <w:ind w:firstLine="708"/>
        <w:jc w:val="both"/>
      </w:pPr>
    </w:p>
    <w:p w14:paraId="7B5662A4" w14:textId="6750024F" w:rsidR="00AB7938" w:rsidRDefault="00BB347D" w:rsidP="00D12216">
      <w:pPr>
        <w:spacing w:line="360" w:lineRule="auto"/>
        <w:ind w:firstLine="708"/>
        <w:jc w:val="both"/>
      </w:pPr>
      <w:r>
        <w:t>A</w:t>
      </w:r>
      <w:r w:rsidR="004D61ED">
        <w:t xml:space="preserve">lgumas questões </w:t>
      </w:r>
      <w:r w:rsidR="009A09A2">
        <w:t xml:space="preserve">jurídicas </w:t>
      </w:r>
      <w:r w:rsidR="004D61ED">
        <w:t xml:space="preserve">relevantes que </w:t>
      </w:r>
      <w:r w:rsidR="009A09A2">
        <w:t xml:space="preserve">mereceram a atenção do setor </w:t>
      </w:r>
      <w:r w:rsidR="00057F84">
        <w:t>ficaram pendentes para o ano de 2021</w:t>
      </w:r>
      <w:r w:rsidR="00D12216">
        <w:t>, a exemplo d</w:t>
      </w:r>
      <w:r w:rsidR="00DD639E">
        <w:t>o julgamento das ações do chamado Plano Collor</w:t>
      </w:r>
      <w:r w:rsidR="003B6650">
        <w:t>,  que trata d</w:t>
      </w:r>
      <w:r w:rsidR="003B6650" w:rsidRPr="003B6650">
        <w:t xml:space="preserve">o direito dos produtores rurais ao ressarcimento das diferenças do Plano Collor havidas em março de </w:t>
      </w:r>
      <w:r w:rsidR="003B6650">
        <w:t>19</w:t>
      </w:r>
      <w:r w:rsidR="003B6650" w:rsidRPr="003B6650">
        <w:t>90 nos financiamentos de crédito agrícola de 84,32% para 41,28%, concedidos pelo Banco do Brasil.</w:t>
      </w:r>
      <w:r w:rsidR="003B6650">
        <w:t xml:space="preserve"> Aqui vale recordar que após julgamento </w:t>
      </w:r>
      <w:r w:rsidR="002A6E98">
        <w:t>pelo Superior Tribunal de Justiça</w:t>
      </w:r>
      <w:r w:rsidR="006B5312">
        <w:t xml:space="preserve">, houve interposição de Recurso Extraordinário </w:t>
      </w:r>
      <w:r w:rsidR="00FD2E5E">
        <w:t xml:space="preserve">pelo Branco do Brasil e </w:t>
      </w:r>
      <w:r w:rsidR="001666DD">
        <w:t xml:space="preserve">foi determinado o efeito suspensivo com ordem de sobrestamento </w:t>
      </w:r>
      <w:r w:rsidR="00CB2D53">
        <w:t xml:space="preserve">dos </w:t>
      </w:r>
      <w:r w:rsidR="00CB2D53">
        <w:lastRenderedPageBreak/>
        <w:t xml:space="preserve">processos que tratam da matéria </w:t>
      </w:r>
      <w:r w:rsidR="00B75941">
        <w:t>até o julgamento definitivo pelo Supremo Tribunal Federal do Tema n</w:t>
      </w:r>
      <w:r w:rsidR="00F452D3">
        <w:t>º 1.075 da repercussão geral (</w:t>
      </w:r>
      <w:r w:rsidR="00062E55">
        <w:t>“</w:t>
      </w:r>
      <w:r w:rsidR="00EE3B67" w:rsidRPr="00D12216">
        <w:rPr>
          <w:i/>
          <w:iCs/>
        </w:rPr>
        <w:t xml:space="preserve">Constitucionalidade do art. 16 da Lei </w:t>
      </w:r>
      <w:r w:rsidR="00D12216">
        <w:rPr>
          <w:i/>
          <w:iCs/>
        </w:rPr>
        <w:t xml:space="preserve">nº </w:t>
      </w:r>
      <w:r w:rsidR="00EE3B67" w:rsidRPr="00D12216">
        <w:rPr>
          <w:i/>
          <w:iCs/>
        </w:rPr>
        <w:t xml:space="preserve">7.347/1985, segundo o qual a sentença na ação civil pública fará coisa julgada </w:t>
      </w:r>
      <w:r w:rsidR="00EE3B67" w:rsidRPr="00D12216">
        <w:t>erga omnes</w:t>
      </w:r>
      <w:r w:rsidR="00EE3B67" w:rsidRPr="00D12216">
        <w:rPr>
          <w:i/>
          <w:iCs/>
        </w:rPr>
        <w:t>, nos limites da competência territorial do órgão prolator</w:t>
      </w:r>
      <w:r w:rsidR="00062E55">
        <w:t>”).</w:t>
      </w:r>
      <w:r w:rsidR="00D12216">
        <w:t xml:space="preserve"> </w:t>
      </w:r>
    </w:p>
    <w:p w14:paraId="767D24E6" w14:textId="388E3C6A" w:rsidR="00D12216" w:rsidRDefault="00D12216" w:rsidP="00D12216">
      <w:pPr>
        <w:spacing w:line="360" w:lineRule="auto"/>
        <w:ind w:firstLine="708"/>
        <w:jc w:val="both"/>
      </w:pPr>
      <w:r>
        <w:t xml:space="preserve">Outro julgamento muito aguardado diz respeito </w:t>
      </w:r>
      <w:r w:rsidR="005A48B6">
        <w:t xml:space="preserve">ao </w:t>
      </w:r>
      <w:r>
        <w:t>da ADI n</w:t>
      </w:r>
      <w:r w:rsidR="00084E6A">
        <w:t xml:space="preserve">º </w:t>
      </w:r>
      <w:r>
        <w:t>4</w:t>
      </w:r>
      <w:r w:rsidR="00084E6A">
        <w:t>.</w:t>
      </w:r>
      <w:r>
        <w:t>395</w:t>
      </w:r>
      <w:r w:rsidR="00084E6A">
        <w:t xml:space="preserve"> pelo Supremo Tribunal Federal, na qual se discute o passivo do </w:t>
      </w:r>
      <w:proofErr w:type="spellStart"/>
      <w:r w:rsidR="00084E6A">
        <w:t>Funrural</w:t>
      </w:r>
      <w:proofErr w:type="spellEnd"/>
      <w:r w:rsidR="00084E6A">
        <w:t>.</w:t>
      </w:r>
    </w:p>
    <w:p w14:paraId="515A5126" w14:textId="393374CA" w:rsidR="00EA408B" w:rsidRDefault="00EA408B" w:rsidP="00D12216">
      <w:pPr>
        <w:spacing w:line="360" w:lineRule="auto"/>
        <w:ind w:firstLine="708"/>
        <w:jc w:val="both"/>
      </w:pPr>
      <w:r>
        <w:t xml:space="preserve">Quanto aos projetos legislativos, voltou </w:t>
      </w:r>
      <w:r w:rsidR="00C17F04">
        <w:t xml:space="preserve">a pauta de debates a flexibilização dos critérios da venda de terras brasileiras a estrangeiros, assunto que já havia sido debatido por conta </w:t>
      </w:r>
      <w:r w:rsidR="004C7044">
        <w:t xml:space="preserve">do </w:t>
      </w:r>
      <w:r w:rsidR="007679B9">
        <w:t xml:space="preserve">art. 13 do texto original do </w:t>
      </w:r>
      <w:r w:rsidR="007679B9" w:rsidRPr="00F252C2">
        <w:t>PLS nº 1</w:t>
      </w:r>
      <w:r w:rsidR="007679B9">
        <w:t>.</w:t>
      </w:r>
      <w:r w:rsidR="007679B9" w:rsidRPr="00F252C2">
        <w:t xml:space="preserve">179/2020, </w:t>
      </w:r>
      <w:r w:rsidR="007679B9">
        <w:t xml:space="preserve">versando sobre </w:t>
      </w:r>
      <w:r w:rsidR="007679B9" w:rsidRPr="00F252C2">
        <w:t>“</w:t>
      </w:r>
      <w:r w:rsidR="007679B9" w:rsidRPr="00F252C2">
        <w:rPr>
          <w:i/>
          <w:iCs/>
        </w:rPr>
        <w:t xml:space="preserve">Regime Jurídico Emergencial e Transitório das relações jurídicas de Direito Privado (RJET) no período da pandemia do </w:t>
      </w:r>
      <w:proofErr w:type="spellStart"/>
      <w:r w:rsidR="007679B9" w:rsidRPr="00F252C2">
        <w:rPr>
          <w:i/>
          <w:iCs/>
        </w:rPr>
        <w:t>Coronavírus</w:t>
      </w:r>
      <w:proofErr w:type="spellEnd"/>
      <w:r w:rsidR="007679B9" w:rsidRPr="00F252C2">
        <w:rPr>
          <w:i/>
          <w:iCs/>
        </w:rPr>
        <w:t xml:space="preserve"> (Covid-19)</w:t>
      </w:r>
      <w:r w:rsidR="007679B9" w:rsidRPr="00F252C2">
        <w:t>”</w:t>
      </w:r>
      <w:r w:rsidR="007679B9">
        <w:t xml:space="preserve"> e, posteriormente, com o art. </w:t>
      </w:r>
      <w:r w:rsidR="00AF4D00" w:rsidRPr="00AF4D00">
        <w:t xml:space="preserve">51 da Lei </w:t>
      </w:r>
      <w:r w:rsidR="00AF4D00">
        <w:t>n</w:t>
      </w:r>
      <w:r w:rsidR="00382254">
        <w:t xml:space="preserve">º </w:t>
      </w:r>
      <w:r w:rsidR="00AF4D00" w:rsidRPr="00AF4D00">
        <w:t>13.986/2020</w:t>
      </w:r>
      <w:r w:rsidR="00382254">
        <w:t xml:space="preserve">, cuja constitucionalidade vem dividindo as opiniões jurídicas em torno da matéria. </w:t>
      </w:r>
      <w:r w:rsidR="00723BB1">
        <w:t xml:space="preserve">Agora, </w:t>
      </w:r>
      <w:r w:rsidR="00FF2D23">
        <w:t xml:space="preserve">o debate reacendeu com a aprovação pelo Senado Federal do </w:t>
      </w:r>
      <w:r w:rsidR="00D20936">
        <w:t>PL nº 2.9</w:t>
      </w:r>
      <w:r w:rsidR="0067435D">
        <w:t>63/2019</w:t>
      </w:r>
      <w:r w:rsidR="00C05BB3">
        <w:t>, no dia 15 de dezembro</w:t>
      </w:r>
      <w:r w:rsidR="0067435D">
        <w:t xml:space="preserve">, o qual foi encaminhado para a Câmara de Deputados. </w:t>
      </w:r>
    </w:p>
    <w:p w14:paraId="3565B280" w14:textId="5CFC9CE7" w:rsidR="008C076C" w:rsidRDefault="00EC3776" w:rsidP="008C076C">
      <w:pPr>
        <w:spacing w:line="360" w:lineRule="auto"/>
        <w:ind w:firstLine="708"/>
        <w:jc w:val="both"/>
      </w:pPr>
      <w:r>
        <w:t>Por fim, o</w:t>
      </w:r>
      <w:r w:rsidR="0067435D">
        <w:t xml:space="preserve">utro projeto </w:t>
      </w:r>
      <w:r>
        <w:t>merecedor de</w:t>
      </w:r>
      <w:r w:rsidR="0067435D">
        <w:t xml:space="preserve"> atenção é </w:t>
      </w:r>
      <w:r w:rsidR="008C076C" w:rsidRPr="008C076C">
        <w:t>Projeto de Lei nº 5</w:t>
      </w:r>
      <w:r w:rsidR="008C076C">
        <w:t>.</w:t>
      </w:r>
      <w:r w:rsidR="008C076C" w:rsidRPr="008C076C">
        <w:t>191/2020, que cria</w:t>
      </w:r>
      <w:r w:rsidR="008C076C">
        <w:t xml:space="preserve"> </w:t>
      </w:r>
      <w:r w:rsidR="008C076C" w:rsidRPr="008C076C">
        <w:t>os Fundos de Investimento do Setor Agropecuário (</w:t>
      </w:r>
      <w:proofErr w:type="spellStart"/>
      <w:r w:rsidR="008C076C" w:rsidRPr="008C076C">
        <w:t>FIAgro</w:t>
      </w:r>
      <w:proofErr w:type="spellEnd"/>
      <w:r w:rsidR="008C076C" w:rsidRPr="008C076C">
        <w:t>)</w:t>
      </w:r>
      <w:r w:rsidR="004702EA">
        <w:t xml:space="preserve">, aprovado pela Câmara dos Deputados </w:t>
      </w:r>
      <w:r w:rsidR="00EC3AD7">
        <w:t>no dia 23 de dezembro, que agora segue para o Senado Federal.</w:t>
      </w:r>
    </w:p>
    <w:p w14:paraId="469FAD4F" w14:textId="432B677B" w:rsidR="00BB347D" w:rsidRDefault="00BB347D" w:rsidP="00BB347D">
      <w:pPr>
        <w:spacing w:line="360" w:lineRule="auto"/>
        <w:ind w:firstLine="708"/>
        <w:jc w:val="both"/>
      </w:pPr>
      <w:r>
        <w:t>Assim, em que pese o ano atípico de 2020 por conta da pandemia, podemos notar pelos tópicos enumerados na presente retrospectiva jurídica que o agronegócio foi bem agitado em novidades jurídicas, seja de ordem legislativa ou jurisprudencial.</w:t>
      </w:r>
      <w:r w:rsidR="00D82B40">
        <w:t xml:space="preserve"> </w:t>
      </w:r>
      <w:r w:rsidR="00FC3029">
        <w:t xml:space="preserve">Ademais, </w:t>
      </w:r>
      <w:r w:rsidR="005D7652">
        <w:t xml:space="preserve">importantes </w:t>
      </w:r>
      <w:r w:rsidR="00FC3029">
        <w:t xml:space="preserve">questões </w:t>
      </w:r>
      <w:r w:rsidR="00127D01">
        <w:t xml:space="preserve">pendentes já </w:t>
      </w:r>
      <w:r w:rsidR="007C477A">
        <w:t xml:space="preserve">permitem prever que </w:t>
      </w:r>
      <w:r w:rsidR="00FC3029">
        <w:t>o ano de 2021</w:t>
      </w:r>
      <w:r w:rsidR="007C477A">
        <w:t xml:space="preserve"> também será repleto de novidades que </w:t>
      </w:r>
      <w:r w:rsidR="00704078">
        <w:t xml:space="preserve">merecerão a atenção dos profissionais jurídicos que atuam no agronegócio. </w:t>
      </w:r>
      <w:r w:rsidR="00FC3029">
        <w:t xml:space="preserve"> </w:t>
      </w:r>
    </w:p>
    <w:p w14:paraId="045D5B80" w14:textId="4AE2B66C" w:rsidR="00AB7938" w:rsidRPr="00992FDF" w:rsidRDefault="00AB7938" w:rsidP="009E2B9A">
      <w:pPr>
        <w:spacing w:line="360" w:lineRule="auto"/>
        <w:jc w:val="both"/>
      </w:pPr>
    </w:p>
    <w:sectPr w:rsidR="00AB7938" w:rsidRPr="00992F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58373" w14:textId="77777777" w:rsidR="00CC4F55" w:rsidRDefault="00CC4F55" w:rsidP="00BF128C">
      <w:r>
        <w:separator/>
      </w:r>
    </w:p>
  </w:endnote>
  <w:endnote w:type="continuationSeparator" w:id="0">
    <w:p w14:paraId="416509BE" w14:textId="77777777" w:rsidR="00CC4F55" w:rsidRDefault="00CC4F55" w:rsidP="00B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roid Sans">
    <w:altName w:val="Segoe UI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B052A" w14:textId="77777777" w:rsidR="00CC4F55" w:rsidRDefault="00CC4F55" w:rsidP="00BF128C">
      <w:r>
        <w:separator/>
      </w:r>
    </w:p>
  </w:footnote>
  <w:footnote w:type="continuationSeparator" w:id="0">
    <w:p w14:paraId="0515CC81" w14:textId="77777777" w:rsidR="00CC4F55" w:rsidRDefault="00CC4F55" w:rsidP="00BF128C">
      <w:r>
        <w:continuationSeparator/>
      </w:r>
    </w:p>
  </w:footnote>
  <w:footnote w:id="1">
    <w:p w14:paraId="1E4C07BC" w14:textId="6DF9688F" w:rsidR="00992FDF" w:rsidRDefault="00992FDF" w:rsidP="005E3CF9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Sobre o assunto, recomendamos o evento virtual “</w:t>
      </w:r>
      <w:r w:rsidRPr="00992FDF">
        <w:rPr>
          <w:i/>
          <w:iCs/>
        </w:rPr>
        <w:t>Impactos da pandemia, à luz do Direito Ambiental, no Agronegócio – apontamentos e vídeo do 11º Bate-papo Virtual</w:t>
      </w:r>
      <w:r w:rsidRPr="00992FDF">
        <w:t>”,</w:t>
      </w:r>
      <w:r>
        <w:rPr>
          <w:rFonts w:ascii="Droid Sans" w:hAnsi="Droid Sans"/>
          <w:b/>
          <w:bCs/>
          <w:color w:val="333333"/>
          <w:sz w:val="30"/>
          <w:szCs w:val="30"/>
          <w:bdr w:val="none" w:sz="0" w:space="0" w:color="auto" w:frame="1"/>
        </w:rPr>
        <w:t xml:space="preserve"> </w:t>
      </w:r>
      <w:r>
        <w:t>ocorrido em 02.04.2020, que foi o primeiro evento virtual a analisar os impactos da pandemia para o setor agrário brasileiro, o qual está disponível em: &lt;</w:t>
      </w:r>
      <w:r w:rsidRPr="00992FDF">
        <w:t>https://direitoagrario.com/impactos-da-pandemia-a-luz-do-direito-ambiental-no-agronegocio/</w:t>
      </w:r>
      <w:r>
        <w:t>&gt;.</w:t>
      </w:r>
    </w:p>
  </w:footnote>
  <w:footnote w:id="2">
    <w:p w14:paraId="39B4EA55" w14:textId="28211F36" w:rsidR="00E01D03" w:rsidRPr="00950D4D" w:rsidRDefault="00E01D03" w:rsidP="00E01D03">
      <w:pPr>
        <w:pStyle w:val="Textodenotaderodap"/>
        <w:jc w:val="both"/>
        <w:rPr>
          <w:rFonts w:cstheme="minorHAnsi"/>
        </w:rPr>
      </w:pPr>
      <w:r w:rsidRPr="00950D4D">
        <w:rPr>
          <w:rStyle w:val="Refdenotaderodap"/>
          <w:rFonts w:cstheme="minorHAnsi"/>
        </w:rPr>
        <w:footnoteRef/>
      </w:r>
      <w:r w:rsidRPr="00950D4D">
        <w:rPr>
          <w:rFonts w:cstheme="minorHAnsi"/>
        </w:rPr>
        <w:t xml:space="preserve"> Vide: DEVISATE, Rogério Reis. </w:t>
      </w:r>
      <w:r w:rsidRPr="00950D4D">
        <w:rPr>
          <w:rFonts w:cstheme="minorHAnsi"/>
          <w:i/>
          <w:iCs/>
        </w:rPr>
        <w:t xml:space="preserve">Ações emergenciais para assegurar a essencialidade da atividade agrária na pandemia do </w:t>
      </w:r>
      <w:proofErr w:type="spellStart"/>
      <w:r w:rsidRPr="00950D4D">
        <w:rPr>
          <w:rFonts w:cstheme="minorHAnsi"/>
          <w:i/>
          <w:iCs/>
        </w:rPr>
        <w:t>coronavírus</w:t>
      </w:r>
      <w:proofErr w:type="spellEnd"/>
      <w:r w:rsidRPr="00950D4D">
        <w:rPr>
          <w:rFonts w:cstheme="minorHAnsi"/>
          <w:i/>
          <w:iCs/>
        </w:rPr>
        <w:t>: repartições de competência e defesa dos direitos do agro, dos negócios e do cidadão</w:t>
      </w:r>
      <w:r w:rsidRPr="00950D4D">
        <w:rPr>
          <w:rFonts w:cstheme="minorHAnsi"/>
        </w:rPr>
        <w:t>. Disponível em: &lt;https://direitoagrario.com/acoes-emergenciais-para-assegurar-a-essencialidade-da-atividade-agraria-na-pandemia-do-coronavirus/&gt;.</w:t>
      </w:r>
    </w:p>
  </w:footnote>
  <w:footnote w:id="3">
    <w:p w14:paraId="048A8EDE" w14:textId="75E33B14" w:rsidR="00BF128C" w:rsidRPr="00950D4D" w:rsidRDefault="00BF128C" w:rsidP="00635A63">
      <w:pPr>
        <w:pStyle w:val="Textodenotaderodap"/>
        <w:jc w:val="both"/>
        <w:rPr>
          <w:rFonts w:cstheme="minorHAnsi"/>
        </w:rPr>
      </w:pPr>
      <w:r w:rsidRPr="00950D4D">
        <w:rPr>
          <w:rStyle w:val="Refdenotaderodap"/>
          <w:rFonts w:cstheme="minorHAnsi"/>
        </w:rPr>
        <w:footnoteRef/>
      </w:r>
      <w:r w:rsidRPr="00950D4D">
        <w:rPr>
          <w:rFonts w:cstheme="minorHAnsi"/>
        </w:rPr>
        <w:t xml:space="preserve"> Nesse sentido, recomendamos os artigos: COTTA DE MELO, Fabiano. </w:t>
      </w:r>
      <w:r w:rsidRPr="00BF128C">
        <w:rPr>
          <w:rFonts w:cstheme="minorHAnsi"/>
          <w:i/>
          <w:iCs/>
        </w:rPr>
        <w:t>A configuração do Covid-19 como caso fortuito ou de força maior para justificar o descumprimento de obrigações contratuais</w:t>
      </w:r>
      <w:r w:rsidRPr="00950D4D">
        <w:rPr>
          <w:rFonts w:cstheme="minorHAnsi"/>
        </w:rPr>
        <w:t>. Disponível em: &lt;https://direitoagrario.com/a-configuracao-do-covid-19-como-caso-fortuito-ou-de-forca-maior/&gt;.</w:t>
      </w:r>
    </w:p>
  </w:footnote>
  <w:footnote w:id="4">
    <w:p w14:paraId="762F0208" w14:textId="0DCF45AB" w:rsidR="006C3DBB" w:rsidRPr="00950D4D" w:rsidRDefault="006C3DBB" w:rsidP="006C3DBB">
      <w:pPr>
        <w:jc w:val="both"/>
        <w:rPr>
          <w:rFonts w:asciiTheme="minorHAnsi" w:hAnsiTheme="minorHAnsi" w:cstheme="minorHAnsi"/>
          <w:sz w:val="20"/>
          <w:szCs w:val="20"/>
        </w:rPr>
      </w:pPr>
      <w:r w:rsidRPr="00950D4D">
        <w:rPr>
          <w:rStyle w:val="Refdenotaderodap"/>
          <w:rFonts w:asciiTheme="minorHAnsi" w:hAnsiTheme="minorHAnsi" w:cstheme="minorHAnsi"/>
          <w:sz w:val="20"/>
          <w:szCs w:val="20"/>
        </w:rPr>
        <w:footnoteRef/>
      </w:r>
      <w:r w:rsidRPr="00950D4D">
        <w:rPr>
          <w:rFonts w:asciiTheme="minorHAnsi" w:hAnsiTheme="minorHAnsi" w:cstheme="minorHAnsi"/>
          <w:sz w:val="20"/>
          <w:szCs w:val="20"/>
        </w:rPr>
        <w:t xml:space="preserve"> Sobre o assunto, confira: COTTA DE MELO, Fabiano. </w:t>
      </w:r>
      <w:r w:rsidRPr="00950D4D">
        <w:rPr>
          <w:rFonts w:asciiTheme="minorHAnsi" w:hAnsiTheme="minorHAnsi" w:cstheme="minorHAnsi"/>
          <w:i/>
          <w:iCs/>
          <w:sz w:val="20"/>
          <w:szCs w:val="20"/>
        </w:rPr>
        <w:t xml:space="preserve">A reformulação da ideia da imprevisão após o covid-19: uma nova Lei </w:t>
      </w:r>
      <w:proofErr w:type="spellStart"/>
      <w:r w:rsidRPr="00950D4D">
        <w:rPr>
          <w:rFonts w:asciiTheme="minorHAnsi" w:hAnsiTheme="minorHAnsi" w:cstheme="minorHAnsi"/>
          <w:i/>
          <w:iCs/>
          <w:sz w:val="20"/>
          <w:szCs w:val="20"/>
        </w:rPr>
        <w:t>Faillot</w:t>
      </w:r>
      <w:proofErr w:type="spellEnd"/>
      <w:r w:rsidRPr="00950D4D">
        <w:rPr>
          <w:rFonts w:asciiTheme="minorHAnsi" w:hAnsiTheme="minorHAnsi" w:cstheme="minorHAnsi"/>
          <w:i/>
          <w:iCs/>
          <w:sz w:val="20"/>
          <w:szCs w:val="20"/>
        </w:rPr>
        <w:t>?</w:t>
      </w:r>
      <w:r w:rsidRPr="00950D4D">
        <w:rPr>
          <w:rFonts w:asciiTheme="minorHAnsi" w:hAnsiTheme="minorHAnsi" w:cstheme="minorHAnsi"/>
          <w:sz w:val="20"/>
          <w:szCs w:val="20"/>
        </w:rPr>
        <w:t xml:space="preserve"> Disponível em: &lt;https://direitoagrario.com/a-reformulacao-da-ideia-da-imprevisao-apos-o-covid-19-uma-nova-lei-faillot/&gt;.</w:t>
      </w:r>
    </w:p>
  </w:footnote>
  <w:footnote w:id="5">
    <w:p w14:paraId="5B789589" w14:textId="448718CD" w:rsidR="00B26D93" w:rsidRPr="00950D4D" w:rsidRDefault="00B26D93" w:rsidP="00635A63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950D4D">
        <w:rPr>
          <w:rStyle w:val="Refdenotaderodap"/>
          <w:rFonts w:asciiTheme="minorHAnsi" w:hAnsiTheme="minorHAnsi" w:cstheme="minorHAnsi"/>
          <w:sz w:val="20"/>
          <w:szCs w:val="20"/>
        </w:rPr>
        <w:footnoteRef/>
      </w:r>
      <w:r w:rsidRPr="00950D4D">
        <w:rPr>
          <w:rFonts w:asciiTheme="minorHAnsi" w:hAnsiTheme="minorHAnsi" w:cstheme="minorHAnsi"/>
          <w:sz w:val="20"/>
          <w:szCs w:val="20"/>
        </w:rPr>
        <w:t xml:space="preserve"> </w:t>
      </w:r>
      <w:r w:rsidRPr="00950D4D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Vide: QUERUBINI, </w:t>
      </w:r>
      <w:proofErr w:type="spellStart"/>
      <w:r w:rsidRPr="00950D4D">
        <w:rPr>
          <w:rFonts w:asciiTheme="minorHAnsi" w:eastAsiaTheme="minorHAnsi" w:hAnsiTheme="minorHAnsi" w:cstheme="minorHAnsi"/>
          <w:sz w:val="20"/>
          <w:szCs w:val="20"/>
          <w:lang w:eastAsia="en-US"/>
        </w:rPr>
        <w:t>Albenir</w:t>
      </w:r>
      <w:proofErr w:type="spellEnd"/>
      <w:r w:rsidRPr="00950D4D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. GRECHI, Frederico </w:t>
      </w:r>
      <w:proofErr w:type="spellStart"/>
      <w:r w:rsidRPr="00950D4D">
        <w:rPr>
          <w:rFonts w:asciiTheme="minorHAnsi" w:eastAsiaTheme="minorHAnsi" w:hAnsiTheme="minorHAnsi" w:cstheme="minorHAnsi"/>
          <w:sz w:val="20"/>
          <w:szCs w:val="20"/>
          <w:lang w:eastAsia="en-US"/>
        </w:rPr>
        <w:t>Price</w:t>
      </w:r>
      <w:proofErr w:type="spellEnd"/>
      <w:r w:rsidRPr="00950D4D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. </w:t>
      </w:r>
      <w:r w:rsidRPr="00950D4D">
        <w:rPr>
          <w:rFonts w:asciiTheme="minorHAnsi" w:eastAsiaTheme="minorHAnsi" w:hAnsiTheme="minorHAnsi" w:cstheme="minorHAnsi"/>
          <w:i/>
          <w:iCs/>
          <w:sz w:val="20"/>
          <w:szCs w:val="20"/>
          <w:lang w:eastAsia="en-US"/>
        </w:rPr>
        <w:t>Análise dos artigos 11 a 13 do Projeto de Lei do Senado nº 1179/2020, que alteram temporariamente disposições referentes aos contratos agrários</w:t>
      </w:r>
      <w:r w:rsidRPr="00950D4D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. Disponível em: </w:t>
      </w:r>
      <w:r w:rsidRPr="00950D4D">
        <w:rPr>
          <w:rFonts w:asciiTheme="minorHAnsi" w:hAnsiTheme="minorHAnsi" w:cstheme="minorHAnsi"/>
          <w:sz w:val="20"/>
          <w:szCs w:val="20"/>
        </w:rPr>
        <w:t>&lt;https://direitoagrario.com/analise-dos-artigos-11-a-13-do-projeto-de-lei-do-senado-no-</w:t>
      </w:r>
      <w:r w:rsidRPr="00950D4D">
        <w:rPr>
          <w:rFonts w:asciiTheme="minorHAnsi" w:eastAsiaTheme="minorHAnsi" w:hAnsiTheme="minorHAnsi" w:cstheme="minorHAnsi"/>
          <w:sz w:val="20"/>
          <w:szCs w:val="20"/>
          <w:lang w:eastAsia="en-US"/>
        </w:rPr>
        <w:t>1179-2020-que-alteram-temporariamente-disposicoes-referentes-aos-contratos-agrarios/&gt;.</w:t>
      </w:r>
    </w:p>
  </w:footnote>
  <w:footnote w:id="6">
    <w:p w14:paraId="4570C681" w14:textId="1C545ED8" w:rsidR="00E01D03" w:rsidRPr="00950D4D" w:rsidRDefault="00E01D03" w:rsidP="00252C70">
      <w:pPr>
        <w:pStyle w:val="Textodenotaderodap"/>
        <w:jc w:val="both"/>
        <w:rPr>
          <w:rFonts w:cstheme="minorHAnsi"/>
        </w:rPr>
      </w:pPr>
      <w:r w:rsidRPr="00950D4D">
        <w:rPr>
          <w:rStyle w:val="Refdenotaderodap"/>
          <w:rFonts w:cstheme="minorHAnsi"/>
        </w:rPr>
        <w:footnoteRef/>
      </w:r>
      <w:r w:rsidRPr="00950D4D">
        <w:rPr>
          <w:rFonts w:cstheme="minorHAnsi"/>
        </w:rPr>
        <w:t xml:space="preserve"> Cabe referir que para os contratos agrários </w:t>
      </w:r>
      <w:r w:rsidR="007E19C7" w:rsidRPr="00950D4D">
        <w:rPr>
          <w:rFonts w:cstheme="minorHAnsi"/>
        </w:rPr>
        <w:t>os contratantes poderiam se valer de</w:t>
      </w:r>
      <w:r w:rsidRPr="00950D4D">
        <w:rPr>
          <w:rFonts w:cstheme="minorHAnsi"/>
        </w:rPr>
        <w:t xml:space="preserve"> medidas jurídicas existentes para salvaguardar o perecimento de direitos, conforme destacado no seguinte artigo: JOBIM, Rodrigo Figueira. </w:t>
      </w:r>
      <w:r w:rsidRPr="00950D4D">
        <w:rPr>
          <w:rFonts w:cstheme="minorHAnsi"/>
          <w:i/>
          <w:iCs/>
          <w:color w:val="333333"/>
          <w:shd w:val="clear" w:color="auto" w:fill="FFFFFF"/>
        </w:rPr>
        <w:t>Medidas jurídicas para evitar o perecimento do direito dos produtores rurais na quarentena</w:t>
      </w:r>
      <w:r w:rsidRPr="00950D4D">
        <w:rPr>
          <w:rFonts w:cstheme="minorHAnsi"/>
          <w:color w:val="333333"/>
          <w:shd w:val="clear" w:color="auto" w:fill="FFFFFF"/>
        </w:rPr>
        <w:t>. Disponível em:</w:t>
      </w:r>
      <w:r w:rsidR="007E19C7" w:rsidRPr="00950D4D">
        <w:rPr>
          <w:rFonts w:cstheme="minorHAnsi"/>
          <w:color w:val="333333"/>
          <w:shd w:val="clear" w:color="auto" w:fill="FFFFFF"/>
        </w:rPr>
        <w:t xml:space="preserve"> </w:t>
      </w:r>
      <w:r w:rsidRPr="00950D4D">
        <w:rPr>
          <w:rFonts w:cstheme="minorHAnsi"/>
          <w:color w:val="333333"/>
          <w:shd w:val="clear" w:color="auto" w:fill="FFFFFF"/>
        </w:rPr>
        <w:t>&lt;https://direitoagrario.com/medidas-juridicas-para-evitar-o-perecimento-do-direito-dos-produtores-rurais-na-quarentena/&gt;.</w:t>
      </w:r>
    </w:p>
  </w:footnote>
  <w:footnote w:id="7">
    <w:p w14:paraId="3044AC6E" w14:textId="1B5A5414" w:rsidR="00950D4D" w:rsidRPr="00102FE5" w:rsidRDefault="00950D4D" w:rsidP="00252C70">
      <w:pPr>
        <w:spacing w:after="200"/>
        <w:jc w:val="both"/>
        <w:rPr>
          <w:color w:val="222222"/>
        </w:rPr>
      </w:pPr>
      <w:r w:rsidRPr="00950D4D">
        <w:rPr>
          <w:rStyle w:val="Refdenotaderodap"/>
          <w:rFonts w:asciiTheme="minorHAnsi" w:eastAsiaTheme="minorHAnsi" w:hAnsiTheme="minorHAnsi" w:cstheme="minorHAnsi"/>
          <w:sz w:val="20"/>
          <w:szCs w:val="20"/>
          <w:lang w:eastAsia="en-US"/>
        </w:rPr>
        <w:footnoteRef/>
      </w:r>
      <w:r>
        <w:t xml:space="preserve"> </w:t>
      </w:r>
      <w:r w:rsidRPr="00950D4D">
        <w:rPr>
          <w:rFonts w:asciiTheme="minorHAnsi" w:eastAsiaTheme="minorHAnsi" w:hAnsiTheme="minorHAnsi" w:cstheme="minorHAnsi"/>
          <w:sz w:val="20"/>
          <w:szCs w:val="20"/>
          <w:lang w:eastAsia="en-US"/>
        </w:rPr>
        <w:t>Saiba mais em: 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&lt;</w:t>
      </w:r>
      <w:r w:rsidRPr="0004634C">
        <w:rPr>
          <w:rFonts w:asciiTheme="minorHAnsi" w:eastAsiaTheme="minorHAnsi" w:hAnsiTheme="minorHAnsi" w:cstheme="minorHAnsi"/>
          <w:sz w:val="20"/>
          <w:szCs w:val="20"/>
          <w:lang w:eastAsia="en-US"/>
        </w:rPr>
        <w:t>https://direitoagrario.com/combate-ao-desperdicio-de-alimentos-e-a-doacao-de-excedentes-de-alimentos-para-o-consumo-humano/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&gt;.</w:t>
      </w:r>
    </w:p>
  </w:footnote>
  <w:footnote w:id="8">
    <w:p w14:paraId="40F549A5" w14:textId="132B7F5F" w:rsidR="00102FE5" w:rsidRPr="00102FE5" w:rsidRDefault="00102FE5" w:rsidP="00252C70">
      <w:pPr>
        <w:pStyle w:val="Textodenotaderodap"/>
        <w:jc w:val="both"/>
        <w:rPr>
          <w:rFonts w:cstheme="minorHAnsi"/>
        </w:rPr>
      </w:pPr>
      <w:r>
        <w:rPr>
          <w:rStyle w:val="Refdenotaderodap"/>
        </w:rPr>
        <w:footnoteRef/>
      </w:r>
      <w:r>
        <w:t xml:space="preserve"> </w:t>
      </w:r>
      <w:r w:rsidRPr="00102FE5">
        <w:rPr>
          <w:rFonts w:cstheme="minorHAnsi"/>
        </w:rPr>
        <w:t>Sobre o assunto, acesse:</w:t>
      </w:r>
      <w:r>
        <w:rPr>
          <w:rFonts w:cstheme="minorHAnsi"/>
        </w:rPr>
        <w:t xml:space="preserve"> &lt;</w:t>
      </w:r>
      <w:r w:rsidRPr="00102FE5">
        <w:rPr>
          <w:rFonts w:cstheme="minorHAnsi"/>
        </w:rPr>
        <w:t> </w:t>
      </w:r>
      <w:hyperlink r:id="rId1" w:tgtFrame="_blank" w:history="1">
        <w:r w:rsidRPr="00102FE5">
          <w:rPr>
            <w:rFonts w:cstheme="minorHAnsi"/>
          </w:rPr>
          <w:t>https://direitoagrario.com/lei-de-medidas-emergenciais-de-amparo-aos-agricultores-familiares-do-brasil/</w:t>
        </w:r>
      </w:hyperlink>
      <w:r>
        <w:rPr>
          <w:rFonts w:cstheme="minorHAnsi"/>
        </w:rPr>
        <w:t>&gt;.</w:t>
      </w:r>
    </w:p>
    <w:p w14:paraId="303E9260" w14:textId="1D170DB2" w:rsidR="00102FE5" w:rsidRDefault="00102FE5">
      <w:pPr>
        <w:pStyle w:val="Textodenotaderodap"/>
      </w:pPr>
    </w:p>
  </w:footnote>
  <w:footnote w:id="9">
    <w:p w14:paraId="3C0F29BA" w14:textId="5D90DD09" w:rsidR="00916504" w:rsidRDefault="00916504" w:rsidP="00B42F18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47475F">
        <w:rPr>
          <w:rFonts w:cstheme="minorHAnsi"/>
        </w:rPr>
        <w:t xml:space="preserve">CALCINI, Fábio </w:t>
      </w:r>
      <w:proofErr w:type="spellStart"/>
      <w:r w:rsidRPr="0047475F">
        <w:rPr>
          <w:rFonts w:cstheme="minorHAnsi"/>
        </w:rPr>
        <w:t>Pallaretti</w:t>
      </w:r>
      <w:proofErr w:type="spellEnd"/>
      <w:r w:rsidRPr="0047475F">
        <w:rPr>
          <w:rFonts w:cstheme="minorHAnsi"/>
        </w:rPr>
        <w:t xml:space="preserve">. </w:t>
      </w:r>
      <w:r w:rsidRPr="00916504">
        <w:rPr>
          <w:rFonts w:cstheme="minorHAnsi"/>
          <w:i/>
          <w:iCs/>
        </w:rPr>
        <w:t>Agronegócio está na mira da fiscalização tributária</w:t>
      </w:r>
      <w:r w:rsidRPr="0047475F">
        <w:rPr>
          <w:rFonts w:cstheme="minorHAnsi"/>
        </w:rPr>
        <w:t xml:space="preserve">. </w:t>
      </w:r>
      <w:proofErr w:type="spellStart"/>
      <w:r w:rsidRPr="0047475F">
        <w:rPr>
          <w:rFonts w:cstheme="minorHAnsi"/>
        </w:rPr>
        <w:t>Conjur</w:t>
      </w:r>
      <w:proofErr w:type="spellEnd"/>
      <w:r w:rsidRPr="0047475F">
        <w:rPr>
          <w:rFonts w:cstheme="minorHAnsi"/>
        </w:rPr>
        <w:t>, 12.06.2020, disponível em: &lt;https://www.conjur.com.br/2020-jun-12/direito-agronegocio-agronegocio-mira-fiscalizacao-tributaria&gt;.</w:t>
      </w:r>
    </w:p>
  </w:footnote>
  <w:footnote w:id="10">
    <w:p w14:paraId="6FA019F3" w14:textId="5396E1DF" w:rsidR="00B42F18" w:rsidRPr="00D655FB" w:rsidRDefault="00B42F18" w:rsidP="00D655FB">
      <w:pPr>
        <w:pStyle w:val="Textodenotaderodap"/>
        <w:jc w:val="both"/>
        <w:rPr>
          <w:rFonts w:cstheme="minorHAnsi"/>
        </w:rPr>
      </w:pPr>
      <w:r>
        <w:rPr>
          <w:rStyle w:val="Refdenotaderodap"/>
        </w:rPr>
        <w:footnoteRef/>
      </w:r>
      <w:r>
        <w:t xml:space="preserve"> </w:t>
      </w:r>
      <w:r w:rsidRPr="00375462">
        <w:rPr>
          <w:rFonts w:cstheme="minorHAnsi"/>
        </w:rPr>
        <w:t xml:space="preserve">GAMA, </w:t>
      </w:r>
      <w:proofErr w:type="spellStart"/>
      <w:r w:rsidRPr="00375462">
        <w:rPr>
          <w:rFonts w:cstheme="minorHAnsi"/>
        </w:rPr>
        <w:t>Clairton</w:t>
      </w:r>
      <w:proofErr w:type="spellEnd"/>
      <w:r w:rsidRPr="00375462">
        <w:rPr>
          <w:rFonts w:cstheme="minorHAnsi"/>
        </w:rPr>
        <w:t xml:space="preserve"> </w:t>
      </w:r>
      <w:proofErr w:type="spellStart"/>
      <w:r w:rsidRPr="00375462">
        <w:rPr>
          <w:rFonts w:cstheme="minorHAnsi"/>
        </w:rPr>
        <w:t>Kubaszwski</w:t>
      </w:r>
      <w:proofErr w:type="spellEnd"/>
      <w:r w:rsidRPr="00375462">
        <w:rPr>
          <w:rFonts w:cstheme="minorHAnsi"/>
        </w:rPr>
        <w:t>. Cobrança do ITR pelos municípios. Disponível em: &lt; https://direitoagrario.com/cobranca-do-itr-pelos-municipios/&gt;.</w:t>
      </w:r>
    </w:p>
  </w:footnote>
  <w:footnote w:id="11">
    <w:p w14:paraId="6F07F55E" w14:textId="5E640838" w:rsidR="00D655FB" w:rsidRPr="00375462" w:rsidRDefault="00D655FB" w:rsidP="00D655FB">
      <w:pPr>
        <w:pStyle w:val="Textodenotaderodap"/>
        <w:jc w:val="both"/>
        <w:rPr>
          <w:rFonts w:cstheme="minorHAnsi"/>
        </w:rPr>
      </w:pPr>
      <w:r>
        <w:rPr>
          <w:rStyle w:val="Refdenotaderodap"/>
        </w:rPr>
        <w:footnoteRef/>
      </w:r>
      <w:r>
        <w:t xml:space="preserve"> Sobre o assunto confira: </w:t>
      </w:r>
      <w:r w:rsidRPr="00375462">
        <w:rPr>
          <w:rFonts w:cstheme="minorHAnsi"/>
        </w:rPr>
        <w:t xml:space="preserve">TORMA, Francisco. </w:t>
      </w:r>
      <w:r w:rsidRPr="00375462">
        <w:rPr>
          <w:rFonts w:cstheme="minorHAnsi"/>
          <w:i/>
          <w:iCs/>
        </w:rPr>
        <w:t>Operação Declara Grãos e a autuação dos produtores rurais</w:t>
      </w:r>
      <w:r w:rsidRPr="00375462">
        <w:rPr>
          <w:rFonts w:cstheme="minorHAnsi"/>
        </w:rPr>
        <w:t>. Disponível em: &lt;https://direitoagrario.com/operacao-declara-graos-e-a-autuacao-dos-produtores-rurais/&gt;.</w:t>
      </w:r>
    </w:p>
    <w:p w14:paraId="3CD4B55F" w14:textId="1F5D0AB1" w:rsidR="00D655FB" w:rsidRDefault="00D655FB">
      <w:pPr>
        <w:pStyle w:val="Textodenotaderodap"/>
      </w:pPr>
    </w:p>
  </w:footnote>
  <w:footnote w:id="12">
    <w:p w14:paraId="03BAB2D6" w14:textId="74C5DA29" w:rsidR="00667042" w:rsidRPr="00175230" w:rsidRDefault="00667042" w:rsidP="00175230">
      <w:pPr>
        <w:pStyle w:val="Textodenotaderodap"/>
        <w:jc w:val="both"/>
        <w:rPr>
          <w:rFonts w:cstheme="minorHAnsi"/>
        </w:rPr>
      </w:pPr>
      <w:r>
        <w:rPr>
          <w:rStyle w:val="Refdenotaderodap"/>
        </w:rPr>
        <w:footnoteRef/>
      </w:r>
      <w:r>
        <w:t xml:space="preserve"> Confira: </w:t>
      </w:r>
      <w:r w:rsidRPr="00375462">
        <w:rPr>
          <w:rFonts w:cstheme="minorHAnsi"/>
        </w:rPr>
        <w:t xml:space="preserve">SANTOS, Álvaro. Holding Rural e o ITBI na integralização de imóveis: nova tese fixada pelo STF sobre o ITBI não se aplica às Holdings Rurais. Disponível em: &lt; </w:t>
      </w:r>
      <w:hyperlink r:id="rId2" w:history="1">
        <w:r w:rsidRPr="00375462">
          <w:rPr>
            <w:rFonts w:cstheme="minorHAnsi"/>
          </w:rPr>
          <w:t>https://direitoagrario.com/holding-rural-e-o-itbi-na-integralizacao-de-imoveis/</w:t>
        </w:r>
      </w:hyperlink>
      <w:r w:rsidRPr="00375462">
        <w:rPr>
          <w:rFonts w:cstheme="minorHAnsi"/>
        </w:rPr>
        <w:t>&gt;.</w:t>
      </w:r>
    </w:p>
  </w:footnote>
  <w:footnote w:id="13">
    <w:p w14:paraId="331E5FC4" w14:textId="282359C0" w:rsidR="00175230" w:rsidRPr="0047289A" w:rsidRDefault="00175230" w:rsidP="0047289A">
      <w:pPr>
        <w:pStyle w:val="Textodenotaderodap"/>
        <w:jc w:val="both"/>
        <w:rPr>
          <w:rFonts w:cstheme="minorHAnsi"/>
        </w:rPr>
      </w:pPr>
      <w:r>
        <w:rPr>
          <w:rStyle w:val="Refdenotaderodap"/>
        </w:rPr>
        <w:footnoteRef/>
      </w:r>
      <w:r>
        <w:t xml:space="preserve"> </w:t>
      </w:r>
      <w:r w:rsidRPr="00175230">
        <w:rPr>
          <w:rFonts w:cstheme="minorHAnsi"/>
        </w:rPr>
        <w:t xml:space="preserve">Vide: GAMA, </w:t>
      </w:r>
      <w:proofErr w:type="spellStart"/>
      <w:r w:rsidRPr="00175230">
        <w:rPr>
          <w:rFonts w:cstheme="minorHAnsi"/>
        </w:rPr>
        <w:t>Clairton</w:t>
      </w:r>
      <w:proofErr w:type="spellEnd"/>
      <w:r w:rsidRPr="00175230">
        <w:rPr>
          <w:rFonts w:cstheme="minorHAnsi"/>
        </w:rPr>
        <w:t xml:space="preserve"> </w:t>
      </w:r>
      <w:proofErr w:type="spellStart"/>
      <w:r w:rsidRPr="00175230">
        <w:rPr>
          <w:rFonts w:cstheme="minorHAnsi"/>
        </w:rPr>
        <w:t>Kubaszwski</w:t>
      </w:r>
      <w:proofErr w:type="spellEnd"/>
      <w:r w:rsidRPr="00175230">
        <w:rPr>
          <w:rFonts w:cstheme="minorHAnsi"/>
        </w:rPr>
        <w:t xml:space="preserve">. O Alcance da Imunidade do </w:t>
      </w:r>
      <w:proofErr w:type="spellStart"/>
      <w:r w:rsidRPr="00175230">
        <w:rPr>
          <w:rFonts w:cstheme="minorHAnsi"/>
        </w:rPr>
        <w:t>Funrural</w:t>
      </w:r>
      <w:proofErr w:type="spellEnd"/>
      <w:r w:rsidRPr="00175230">
        <w:rPr>
          <w:rFonts w:cstheme="minorHAnsi"/>
        </w:rPr>
        <w:t xml:space="preserve"> nas Exportações Indiretas. Disponível em: &lt; https://direitoagrario.com/imunidade-do-funrural-nas-exportacoes-indiretas/&gt;.</w:t>
      </w:r>
    </w:p>
  </w:footnote>
  <w:footnote w:id="14">
    <w:p w14:paraId="074D530B" w14:textId="312D10BF" w:rsidR="00AC457C" w:rsidRDefault="00AC457C" w:rsidP="000D657F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2E64F5">
        <w:t>Sobre o assunto, veja: &lt;</w:t>
      </w:r>
      <w:hyperlink r:id="rId3" w:tgtFrame="_blank" w:history="1">
        <w:r w:rsidR="002E64F5" w:rsidRPr="002E64F5">
          <w:t>https://direitoambiental.com/a-inconstitucionalidade-do-licenciamento-ambiental-unico-previsto-pela-lei-estadual-do-amapa/</w:t>
        </w:r>
      </w:hyperlink>
      <w:r w:rsidR="002E64F5">
        <w:t>&gt;.</w:t>
      </w:r>
    </w:p>
  </w:footnote>
  <w:footnote w:id="15">
    <w:p w14:paraId="0255F377" w14:textId="3D525A11" w:rsidR="00BC2905" w:rsidRDefault="008260B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BC2905">
        <w:t>Vide em:  &lt;</w:t>
      </w:r>
      <w:r w:rsidR="00BC2905" w:rsidRPr="00BC2905">
        <w:t>https://direitoagrario.com/regulamentacao-do-registro-e-do-deposito-da-cedula-de-produto-rural-cpr/</w:t>
      </w:r>
      <w:r w:rsidR="00BC2905">
        <w:t>&gt;.</w:t>
      </w:r>
    </w:p>
  </w:footnote>
  <w:footnote w:id="16">
    <w:p w14:paraId="40E9C94A" w14:textId="0E1F9003" w:rsidR="007760B1" w:rsidRDefault="007760B1" w:rsidP="005B7F64">
      <w:pPr>
        <w:pStyle w:val="Textodenotaderodap"/>
      </w:pPr>
      <w:r>
        <w:rPr>
          <w:rStyle w:val="Refdenotaderodap"/>
        </w:rPr>
        <w:footnoteRef/>
      </w:r>
      <w:r>
        <w:t xml:space="preserve"> Confira:</w:t>
      </w:r>
      <w:r w:rsidR="005B7F64">
        <w:t xml:space="preserve"> </w:t>
      </w:r>
      <w:r>
        <w:t>&lt;</w:t>
      </w:r>
      <w:r w:rsidRPr="007760B1">
        <w:t xml:space="preserve"> </w:t>
      </w:r>
      <w:r w:rsidRPr="005B7F64">
        <w:t>https://direitoagrario.com/informacoes-a-serem-disponibilizadas-das-cedulas-de-produto-rural-registradas-ou-depositadas-em-sistema-de-registro-ou-de-deposito/</w:t>
      </w:r>
      <w:r w:rsidR="005B7F64">
        <w:t>&gt;.</w:t>
      </w:r>
    </w:p>
  </w:footnote>
  <w:footnote w:id="17">
    <w:p w14:paraId="1F888F05" w14:textId="6CBA9406" w:rsidR="007B7E8A" w:rsidRDefault="007B7E8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7B7E8A">
        <w:t>Lei</w:t>
      </w:r>
      <w:r>
        <w:t>a</w:t>
      </w:r>
      <w:r w:rsidRPr="007B7E8A">
        <w:t xml:space="preserve"> em:</w:t>
      </w:r>
      <w:r>
        <w:t xml:space="preserve"> &lt;</w:t>
      </w:r>
      <w:hyperlink r:id="rId4" w:tgtFrame="_blank" w:history="1">
        <w:r w:rsidRPr="007B7E8A">
          <w:t>https://direitoagrario.com/endividamento-rural-resolucoes-de-9-de-abril-de-2020/</w:t>
        </w:r>
      </w:hyperlink>
      <w:r>
        <w:t>&gt;.</w:t>
      </w:r>
    </w:p>
  </w:footnote>
  <w:footnote w:id="18">
    <w:p w14:paraId="5A8F6B99" w14:textId="6CA8CA51" w:rsidR="00AB6C25" w:rsidRDefault="00AB6C25" w:rsidP="00F6465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F64653">
        <w:t>Confira a notícia publicada pelo STJ: &lt;</w:t>
      </w:r>
      <w:r w:rsidR="00F64653" w:rsidRPr="00F64653">
        <w:t>https://www.stj.jus.br/sites/portalp/Paginas/Comunicacao/Noticias/17112020-Decisao-da-Terceira-Turma-consolida-jurisprudencia-do-STJ-sobre-recuperacao-do-empresario-rural.aspx</w:t>
      </w:r>
      <w:r w:rsidR="00F64653">
        <w:t>&gt;.</w:t>
      </w:r>
    </w:p>
  </w:footnote>
  <w:footnote w:id="19">
    <w:p w14:paraId="7EACBEB5" w14:textId="62BEDE7F" w:rsidR="00F312C1" w:rsidRDefault="00F312C1" w:rsidP="00B0460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Sobre o assunto, recomenda-se a leitura do artigo “Recuperações judiciais do agro: danos </w:t>
      </w:r>
      <w:r w:rsidR="00B04604">
        <w:t>econômicos, indícios de crimes e fraudes”, de autoria de Eduardo Lima Porto, publicado no Portal Notícias Agrícolas, no seguinte endereço: &lt;</w:t>
      </w:r>
      <w:r w:rsidR="00B04604" w:rsidRPr="00B04604">
        <w:t>https://www.noticiasagricolas.com.br/noticias/agronegocio/265500-recuperacoes-judiciais-no-agro-danos-economicos-indicios-de-crimes-e-fraudes-por-eduardo-lima-porto.html#.X-fyLS35RbU</w:t>
      </w:r>
      <w:r w:rsidR="00B04604">
        <w:t>&gt;.</w:t>
      </w:r>
    </w:p>
  </w:footnote>
  <w:footnote w:id="20">
    <w:p w14:paraId="04540A2E" w14:textId="75AB4442" w:rsidR="00D03623" w:rsidRDefault="00D03623" w:rsidP="002530EE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2530EE">
        <w:t xml:space="preserve">Para saber </w:t>
      </w:r>
      <w:r>
        <w:t xml:space="preserve">mais sobre a Lei </w:t>
      </w:r>
      <w:r w:rsidR="002530EE">
        <w:t>nº 14.112/2020 e seus pontos referentes ao agronegócio, acesse: &lt;</w:t>
      </w:r>
      <w:r w:rsidR="002530EE" w:rsidRPr="002530EE">
        <w:t>https://direitoagrario.com/publicada-a-lei-que-altera-a-falencia-e-a-recuperacao-judicial/</w:t>
      </w:r>
      <w:r w:rsidR="002530EE">
        <w:t>&gt;.</w:t>
      </w:r>
    </w:p>
  </w:footnote>
  <w:footnote w:id="21">
    <w:p w14:paraId="126505CB" w14:textId="733F859C" w:rsidR="00E83C22" w:rsidRDefault="00E83C22" w:rsidP="005A223E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Sobre o assunto, vide: </w:t>
      </w:r>
      <w:r w:rsidRPr="00DA0CEC">
        <w:t xml:space="preserve">ALVES, Vanessa. </w:t>
      </w:r>
      <w:r w:rsidRPr="000A745C">
        <w:t xml:space="preserve">A Nova NR-31: Uma proposta de redução de custos para o Produtor Rural. </w:t>
      </w:r>
      <w:proofErr w:type="spellStart"/>
      <w:r w:rsidRPr="000A745C">
        <w:t>Dsiponível</w:t>
      </w:r>
      <w:proofErr w:type="spellEnd"/>
      <w:r w:rsidRPr="000A745C">
        <w:t xml:space="preserve"> em: &lt;</w:t>
      </w:r>
      <w:r w:rsidRPr="00DA0CEC">
        <w:t>https://direitoagrario.com/a-nova-nr-31-uma-proposta-de-reducao-de-custos-para-o-produtor-rural/&gt;.</w:t>
      </w:r>
    </w:p>
  </w:footnote>
  <w:footnote w:id="22">
    <w:p w14:paraId="0A12E009" w14:textId="34FBA746" w:rsidR="00D21FE1" w:rsidRDefault="00D21FE1">
      <w:pPr>
        <w:pStyle w:val="Textodenotaderodap"/>
      </w:pPr>
      <w:r>
        <w:rPr>
          <w:rStyle w:val="Refdenotaderodap"/>
        </w:rPr>
        <w:footnoteRef/>
      </w:r>
      <w:r>
        <w:t xml:space="preserve"> Confira sobre o assunto: &lt;</w:t>
      </w:r>
      <w:hyperlink r:id="rId5" w:history="1">
        <w:r w:rsidRPr="00D21FE1">
          <w:t>https://direitoagrario.com/programa-titula-brasil/</w:t>
        </w:r>
      </w:hyperlink>
      <w:r>
        <w:t>&gt;.</w:t>
      </w:r>
    </w:p>
  </w:footnote>
  <w:footnote w:id="23">
    <w:p w14:paraId="25F53E93" w14:textId="0503D795" w:rsidR="00633C04" w:rsidRDefault="00633C04">
      <w:pPr>
        <w:pStyle w:val="Textodenotaderodap"/>
      </w:pPr>
      <w:r>
        <w:rPr>
          <w:rStyle w:val="Refdenotaderodap"/>
        </w:rPr>
        <w:footnoteRef/>
      </w:r>
      <w:r>
        <w:t xml:space="preserve"> Veja a seguinte publicação sobre o assunto: &lt;</w:t>
      </w:r>
      <w:r w:rsidRPr="00633C04">
        <w:t>https://direitoagrario.com/uso-das-aguas-de-dominio-da-uniao-para-a-pratica-da-aquicultura/</w:t>
      </w:r>
      <w:r>
        <w:t>&gt;.</w:t>
      </w:r>
    </w:p>
  </w:footnote>
  <w:footnote w:id="24">
    <w:p w14:paraId="4987F693" w14:textId="2BEF111F" w:rsidR="003E181A" w:rsidRDefault="00D5772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3E181A">
        <w:t>Veja: &lt;</w:t>
      </w:r>
      <w:hyperlink r:id="rId6" w:history="1">
        <w:r w:rsidR="003E181A" w:rsidRPr="000A6EC8">
          <w:t>https://direitoagrario.com/regulamento-do-sistema-nacional-de-sementes-e-mudas/</w:t>
        </w:r>
      </w:hyperlink>
      <w:r w:rsidR="003E181A">
        <w:t>&gt;.</w:t>
      </w:r>
    </w:p>
  </w:footnote>
  <w:footnote w:id="25">
    <w:p w14:paraId="57F5ED28" w14:textId="2EA93037" w:rsidR="000A6EC8" w:rsidRDefault="00210B05" w:rsidP="001377D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Para saber mais sobre o assunto, </w:t>
      </w:r>
      <w:r w:rsidR="000A6EC8">
        <w:t xml:space="preserve">leia o seguinte artigo: </w:t>
      </w:r>
      <w:r w:rsidR="000A6EC8" w:rsidRPr="000A6EC8">
        <w:t xml:space="preserve">QUERUBINI, </w:t>
      </w:r>
      <w:proofErr w:type="spellStart"/>
      <w:r w:rsidR="000A6EC8" w:rsidRPr="000A6EC8">
        <w:t>Albenir</w:t>
      </w:r>
      <w:proofErr w:type="spellEnd"/>
      <w:r w:rsidR="000A6EC8" w:rsidRPr="000A6EC8">
        <w:t>. Do uso agrícola da faixa de domínio de rodovias federais. Disponível em:</w:t>
      </w:r>
      <w:r w:rsidR="000A6EC8">
        <w:t xml:space="preserve"> </w:t>
      </w:r>
      <w:r w:rsidR="000A6EC8" w:rsidRPr="000A6EC8">
        <w:t>&lt;https://direitoagrario.com/do-uso-agricola-da-faixa-de-dominio-de-rodovias-federais/&gt;.</w:t>
      </w:r>
    </w:p>
  </w:footnote>
  <w:footnote w:id="26">
    <w:p w14:paraId="3936411D" w14:textId="2E69858A" w:rsidR="001377D3" w:rsidRPr="001377D3" w:rsidRDefault="001377D3" w:rsidP="001377D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1377D3">
        <w:t>Confira: </w:t>
      </w:r>
      <w:r w:rsidR="005A223E">
        <w:t>&lt;</w:t>
      </w:r>
      <w:hyperlink r:id="rId7" w:history="1">
        <w:r w:rsidR="005A223E" w:rsidRPr="00423013">
          <w:rPr>
            <w:rStyle w:val="Hyperlink"/>
          </w:rPr>
          <w:t>https://direitoagrario.com/a-impenhorabilidade-da-pequena-propriedade-rural/</w:t>
        </w:r>
      </w:hyperlink>
      <w:r>
        <w:t>&gt;.</w:t>
      </w:r>
    </w:p>
    <w:p w14:paraId="63D68EEF" w14:textId="77777777" w:rsidR="001377D3" w:rsidRDefault="001377D3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171"/>
    <w:rsid w:val="00027BF6"/>
    <w:rsid w:val="00027E8C"/>
    <w:rsid w:val="0004634C"/>
    <w:rsid w:val="00054BA3"/>
    <w:rsid w:val="000574B5"/>
    <w:rsid w:val="00057F84"/>
    <w:rsid w:val="000614E5"/>
    <w:rsid w:val="00062E55"/>
    <w:rsid w:val="00084E6A"/>
    <w:rsid w:val="00086AE4"/>
    <w:rsid w:val="000900EE"/>
    <w:rsid w:val="000A6EC8"/>
    <w:rsid w:val="000A745C"/>
    <w:rsid w:val="000C0031"/>
    <w:rsid w:val="000C6684"/>
    <w:rsid w:val="000C6E42"/>
    <w:rsid w:val="000D06D7"/>
    <w:rsid w:val="000D3EE9"/>
    <w:rsid w:val="000D657F"/>
    <w:rsid w:val="000E016A"/>
    <w:rsid w:val="00102FE5"/>
    <w:rsid w:val="00127D01"/>
    <w:rsid w:val="001377D3"/>
    <w:rsid w:val="0014323D"/>
    <w:rsid w:val="00147659"/>
    <w:rsid w:val="00152ED1"/>
    <w:rsid w:val="001666DD"/>
    <w:rsid w:val="001719BA"/>
    <w:rsid w:val="00175230"/>
    <w:rsid w:val="00183598"/>
    <w:rsid w:val="00197E24"/>
    <w:rsid w:val="001A2F30"/>
    <w:rsid w:val="001B51AF"/>
    <w:rsid w:val="002036D5"/>
    <w:rsid w:val="0020494B"/>
    <w:rsid w:val="002071CB"/>
    <w:rsid w:val="00210B05"/>
    <w:rsid w:val="002119C3"/>
    <w:rsid w:val="002241E7"/>
    <w:rsid w:val="002418D2"/>
    <w:rsid w:val="002446F3"/>
    <w:rsid w:val="00252581"/>
    <w:rsid w:val="00252C70"/>
    <w:rsid w:val="002530EE"/>
    <w:rsid w:val="00257A23"/>
    <w:rsid w:val="00261E38"/>
    <w:rsid w:val="00277A31"/>
    <w:rsid w:val="00294080"/>
    <w:rsid w:val="00296CD4"/>
    <w:rsid w:val="002A6E98"/>
    <w:rsid w:val="002C6685"/>
    <w:rsid w:val="002E64F5"/>
    <w:rsid w:val="002E680F"/>
    <w:rsid w:val="002F0728"/>
    <w:rsid w:val="002F1A51"/>
    <w:rsid w:val="00303BF5"/>
    <w:rsid w:val="00316A04"/>
    <w:rsid w:val="003461E9"/>
    <w:rsid w:val="00351804"/>
    <w:rsid w:val="00355D1B"/>
    <w:rsid w:val="00375462"/>
    <w:rsid w:val="00381F65"/>
    <w:rsid w:val="00382254"/>
    <w:rsid w:val="0039087C"/>
    <w:rsid w:val="00390D3E"/>
    <w:rsid w:val="003A500E"/>
    <w:rsid w:val="003B4723"/>
    <w:rsid w:val="003B55BF"/>
    <w:rsid w:val="003B6650"/>
    <w:rsid w:val="003B6CA4"/>
    <w:rsid w:val="003E181A"/>
    <w:rsid w:val="003F3C22"/>
    <w:rsid w:val="003F4C5A"/>
    <w:rsid w:val="00412CC5"/>
    <w:rsid w:val="00417073"/>
    <w:rsid w:val="00435011"/>
    <w:rsid w:val="0044293F"/>
    <w:rsid w:val="004702EA"/>
    <w:rsid w:val="0047289A"/>
    <w:rsid w:val="004738F3"/>
    <w:rsid w:val="0047475F"/>
    <w:rsid w:val="0049049D"/>
    <w:rsid w:val="004A0843"/>
    <w:rsid w:val="004A6A08"/>
    <w:rsid w:val="004B6955"/>
    <w:rsid w:val="004C7044"/>
    <w:rsid w:val="004D61ED"/>
    <w:rsid w:val="004E4396"/>
    <w:rsid w:val="004E4761"/>
    <w:rsid w:val="004E6E79"/>
    <w:rsid w:val="00537426"/>
    <w:rsid w:val="00554EAB"/>
    <w:rsid w:val="00575EE6"/>
    <w:rsid w:val="005833DD"/>
    <w:rsid w:val="005A223E"/>
    <w:rsid w:val="005A271E"/>
    <w:rsid w:val="005A2D2F"/>
    <w:rsid w:val="005A48B6"/>
    <w:rsid w:val="005B027B"/>
    <w:rsid w:val="005B20E5"/>
    <w:rsid w:val="005B7F64"/>
    <w:rsid w:val="005D7652"/>
    <w:rsid w:val="005E3CF9"/>
    <w:rsid w:val="005E5779"/>
    <w:rsid w:val="005E5DAA"/>
    <w:rsid w:val="005E66E5"/>
    <w:rsid w:val="00601138"/>
    <w:rsid w:val="00602742"/>
    <w:rsid w:val="00614080"/>
    <w:rsid w:val="00633C04"/>
    <w:rsid w:val="00635A63"/>
    <w:rsid w:val="00641A6A"/>
    <w:rsid w:val="006464E7"/>
    <w:rsid w:val="0065731F"/>
    <w:rsid w:val="00667042"/>
    <w:rsid w:val="0067435D"/>
    <w:rsid w:val="00677C65"/>
    <w:rsid w:val="006804B7"/>
    <w:rsid w:val="006A19B3"/>
    <w:rsid w:val="006A43F6"/>
    <w:rsid w:val="006B5312"/>
    <w:rsid w:val="006C3DBB"/>
    <w:rsid w:val="006E1995"/>
    <w:rsid w:val="006E3077"/>
    <w:rsid w:val="00704078"/>
    <w:rsid w:val="007116EC"/>
    <w:rsid w:val="00723BB1"/>
    <w:rsid w:val="007344CC"/>
    <w:rsid w:val="00735658"/>
    <w:rsid w:val="00741C3C"/>
    <w:rsid w:val="00745C7A"/>
    <w:rsid w:val="0076199F"/>
    <w:rsid w:val="007679B9"/>
    <w:rsid w:val="007760B1"/>
    <w:rsid w:val="00796FB0"/>
    <w:rsid w:val="007A2F8E"/>
    <w:rsid w:val="007A3454"/>
    <w:rsid w:val="007B6285"/>
    <w:rsid w:val="007B7E8A"/>
    <w:rsid w:val="007C2C1A"/>
    <w:rsid w:val="007C2D8C"/>
    <w:rsid w:val="007C42C2"/>
    <w:rsid w:val="007C477A"/>
    <w:rsid w:val="007C5559"/>
    <w:rsid w:val="007E167A"/>
    <w:rsid w:val="007E19C7"/>
    <w:rsid w:val="007E4420"/>
    <w:rsid w:val="007F4361"/>
    <w:rsid w:val="00802089"/>
    <w:rsid w:val="008230A7"/>
    <w:rsid w:val="008256FA"/>
    <w:rsid w:val="008260BC"/>
    <w:rsid w:val="008414A7"/>
    <w:rsid w:val="00851038"/>
    <w:rsid w:val="00883E9B"/>
    <w:rsid w:val="00895F67"/>
    <w:rsid w:val="008C076C"/>
    <w:rsid w:val="008C2D1B"/>
    <w:rsid w:val="008D5ADE"/>
    <w:rsid w:val="008D5BA5"/>
    <w:rsid w:val="008F140F"/>
    <w:rsid w:val="008F29A7"/>
    <w:rsid w:val="009025A4"/>
    <w:rsid w:val="00916504"/>
    <w:rsid w:val="00932CFA"/>
    <w:rsid w:val="00943D22"/>
    <w:rsid w:val="00950D4D"/>
    <w:rsid w:val="00956192"/>
    <w:rsid w:val="00971590"/>
    <w:rsid w:val="00980F84"/>
    <w:rsid w:val="00992FDF"/>
    <w:rsid w:val="009A09A2"/>
    <w:rsid w:val="009B6D0C"/>
    <w:rsid w:val="009D0075"/>
    <w:rsid w:val="009D1171"/>
    <w:rsid w:val="009D6FDC"/>
    <w:rsid w:val="009E2B9A"/>
    <w:rsid w:val="009F69F4"/>
    <w:rsid w:val="00A128BE"/>
    <w:rsid w:val="00A172E3"/>
    <w:rsid w:val="00A46A70"/>
    <w:rsid w:val="00A519CB"/>
    <w:rsid w:val="00A60A26"/>
    <w:rsid w:val="00A7076B"/>
    <w:rsid w:val="00A84F0C"/>
    <w:rsid w:val="00A90CBA"/>
    <w:rsid w:val="00A933EF"/>
    <w:rsid w:val="00AB6C25"/>
    <w:rsid w:val="00AB7938"/>
    <w:rsid w:val="00AC457C"/>
    <w:rsid w:val="00AF20AE"/>
    <w:rsid w:val="00AF4D00"/>
    <w:rsid w:val="00AF7C2C"/>
    <w:rsid w:val="00B04604"/>
    <w:rsid w:val="00B17770"/>
    <w:rsid w:val="00B26D93"/>
    <w:rsid w:val="00B33478"/>
    <w:rsid w:val="00B42F18"/>
    <w:rsid w:val="00B479C5"/>
    <w:rsid w:val="00B53348"/>
    <w:rsid w:val="00B735D7"/>
    <w:rsid w:val="00B75941"/>
    <w:rsid w:val="00BB347D"/>
    <w:rsid w:val="00BC2905"/>
    <w:rsid w:val="00BE6191"/>
    <w:rsid w:val="00BF128C"/>
    <w:rsid w:val="00C05BB3"/>
    <w:rsid w:val="00C1273D"/>
    <w:rsid w:val="00C17F04"/>
    <w:rsid w:val="00C220C1"/>
    <w:rsid w:val="00C336DF"/>
    <w:rsid w:val="00C3797E"/>
    <w:rsid w:val="00C47BE2"/>
    <w:rsid w:val="00C61D6E"/>
    <w:rsid w:val="00C65848"/>
    <w:rsid w:val="00C8592E"/>
    <w:rsid w:val="00C9462B"/>
    <w:rsid w:val="00CA7D78"/>
    <w:rsid w:val="00CB2D53"/>
    <w:rsid w:val="00CC4F55"/>
    <w:rsid w:val="00CE10BC"/>
    <w:rsid w:val="00CE32E0"/>
    <w:rsid w:val="00CF5279"/>
    <w:rsid w:val="00D03623"/>
    <w:rsid w:val="00D12216"/>
    <w:rsid w:val="00D13E93"/>
    <w:rsid w:val="00D20936"/>
    <w:rsid w:val="00D21FE1"/>
    <w:rsid w:val="00D46070"/>
    <w:rsid w:val="00D4711F"/>
    <w:rsid w:val="00D57727"/>
    <w:rsid w:val="00D61638"/>
    <w:rsid w:val="00D639DF"/>
    <w:rsid w:val="00D655FB"/>
    <w:rsid w:val="00D70CAD"/>
    <w:rsid w:val="00D82B40"/>
    <w:rsid w:val="00D8311A"/>
    <w:rsid w:val="00D911BD"/>
    <w:rsid w:val="00D92B91"/>
    <w:rsid w:val="00D97E5E"/>
    <w:rsid w:val="00DA0CEC"/>
    <w:rsid w:val="00DB33D7"/>
    <w:rsid w:val="00DC37B9"/>
    <w:rsid w:val="00DD639E"/>
    <w:rsid w:val="00DF35B9"/>
    <w:rsid w:val="00E01D03"/>
    <w:rsid w:val="00E469AA"/>
    <w:rsid w:val="00E522AB"/>
    <w:rsid w:val="00E83C22"/>
    <w:rsid w:val="00EA2FE9"/>
    <w:rsid w:val="00EA408B"/>
    <w:rsid w:val="00EB2C66"/>
    <w:rsid w:val="00EC3776"/>
    <w:rsid w:val="00EC3AD7"/>
    <w:rsid w:val="00EC3D29"/>
    <w:rsid w:val="00ED0704"/>
    <w:rsid w:val="00EE279B"/>
    <w:rsid w:val="00EE3B67"/>
    <w:rsid w:val="00F1586A"/>
    <w:rsid w:val="00F23C9C"/>
    <w:rsid w:val="00F23CE4"/>
    <w:rsid w:val="00F252C2"/>
    <w:rsid w:val="00F312C1"/>
    <w:rsid w:val="00F452D3"/>
    <w:rsid w:val="00F64653"/>
    <w:rsid w:val="00F83359"/>
    <w:rsid w:val="00F87161"/>
    <w:rsid w:val="00F90A80"/>
    <w:rsid w:val="00FA4897"/>
    <w:rsid w:val="00FC2E62"/>
    <w:rsid w:val="00FC3029"/>
    <w:rsid w:val="00FC7080"/>
    <w:rsid w:val="00FD2E5E"/>
    <w:rsid w:val="00FD365F"/>
    <w:rsid w:val="00FD72FE"/>
    <w:rsid w:val="00FE0ADE"/>
    <w:rsid w:val="00FF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09E275"/>
  <w15:chartTrackingRefBased/>
  <w15:docId w15:val="{83CBFED1-00A4-B648-8977-F4DF7B0C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76C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BF12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92F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D117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D1171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F128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F128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F128C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BF128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92FD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styleId="nfase">
    <w:name w:val="Emphasis"/>
    <w:basedOn w:val="Fontepargpadro"/>
    <w:uiPriority w:val="20"/>
    <w:qFormat/>
    <w:rsid w:val="00F252C2"/>
    <w:rPr>
      <w:i/>
      <w:iCs/>
    </w:rPr>
  </w:style>
  <w:style w:type="character" w:customStyle="1" w:styleId="apple-converted-space">
    <w:name w:val="apple-converted-space"/>
    <w:basedOn w:val="Fontepargpadro"/>
    <w:rsid w:val="00883E9B"/>
  </w:style>
  <w:style w:type="paragraph" w:styleId="NormalWeb">
    <w:name w:val="Normal (Web)"/>
    <w:basedOn w:val="Normal"/>
    <w:uiPriority w:val="99"/>
    <w:semiHidden/>
    <w:unhideWhenUsed/>
    <w:rsid w:val="00D8311A"/>
    <w:pPr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AF20AE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D46070"/>
    <w:rPr>
      <w:b/>
      <w:bCs/>
    </w:rPr>
  </w:style>
  <w:style w:type="paragraph" w:styleId="PargrafodaLista">
    <w:name w:val="List Paragraph"/>
    <w:basedOn w:val="Normal"/>
    <w:uiPriority w:val="34"/>
    <w:qFormat/>
    <w:rsid w:val="00C65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ireitoambiental.com/a-inconstitucionalidade-do-licenciamento-ambiental-unico-previsto-pela-lei-estadual-do-amapa/" TargetMode="External"/><Relationship Id="rId7" Type="http://schemas.openxmlformats.org/officeDocument/2006/relationships/hyperlink" Target="https://direitoagrario.com/a-impenhorabilidade-da-pequena-propriedade-rural/" TargetMode="External"/><Relationship Id="rId2" Type="http://schemas.openxmlformats.org/officeDocument/2006/relationships/hyperlink" Target="https://direitoagrario.com/holding-rural-e-o-itbi-na-integralizacao-de-imoveis/" TargetMode="External"/><Relationship Id="rId1" Type="http://schemas.openxmlformats.org/officeDocument/2006/relationships/hyperlink" Target="https://direitoagrario.com/lei-de-medidas-emergenciais-de-amparo-aos-agricultores-familiares-do-brasil/" TargetMode="External"/><Relationship Id="rId6" Type="http://schemas.openxmlformats.org/officeDocument/2006/relationships/hyperlink" Target="https://direitoagrario.com/regulamento-do-sistema-nacional-de-sementes-e-mudas/" TargetMode="External"/><Relationship Id="rId5" Type="http://schemas.openxmlformats.org/officeDocument/2006/relationships/hyperlink" Target="https://direitoagrario.com/programa-titula-brasil/" TargetMode="External"/><Relationship Id="rId4" Type="http://schemas.openxmlformats.org/officeDocument/2006/relationships/hyperlink" Target="https://direitoagrario.com/endividamento-rural-resolucoes-de-9-de-abril-de-2020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A4E600-295F-6647-966F-7AD4F3E5C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3376</Words>
  <Characters>18235</Characters>
  <Application>Microsoft Office Word</Application>
  <DocSecurity>0</DocSecurity>
  <Lines>151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Albenir Querubini</dc:creator>
  <cp:keywords/>
  <dc:description/>
  <cp:lastModifiedBy>Albenir Querubini</cp:lastModifiedBy>
  <cp:revision>6</cp:revision>
  <dcterms:created xsi:type="dcterms:W3CDTF">2020-12-27T04:17:00Z</dcterms:created>
  <dcterms:modified xsi:type="dcterms:W3CDTF">2020-12-27T14:48:00Z</dcterms:modified>
</cp:coreProperties>
</file>